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 xml:space="preserve">По состоянию </w:t>
      </w:r>
      <w:r>
        <w:rPr>
          <w:rFonts w:eastAsia="Calibri" w:cs="Times New Roman" w:ascii="Tinos" w:hAnsi="Tinos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 xml:space="preserve">на 09 час. 00 мин. </w:t>
      </w:r>
      <w:r>
        <w:rPr>
          <w:rFonts w:eastAsia="Calibri" w:cs="Times New Roman" w:ascii="Tinos" w:hAnsi="Tinos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27</w:t>
      </w:r>
      <w:r>
        <w:rPr>
          <w:rFonts w:eastAsia="Calibri" w:cs="Times New Roman" w:ascii="Tinos" w:hAnsi="Tinos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Calibri" w:cs="Times New Roman" w:ascii="Tinos" w:hAnsi="Tinos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Calibri" w:cs="Times New Roman" w:ascii="Tinos" w:hAnsi="Tinos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.2026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 xml:space="preserve"> на территории города Тулуна и Тулунского района зарегистрировано 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>40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 xml:space="preserve"> пожаров (за аналогичный период прошлого года — 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>62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 xml:space="preserve">), 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>на пожарах погибли 2 человека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>, травмирован 1 человек.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С учетом интенсивного таяния снежного покрова и началом подготовки территорий частных домовладений к весенне-летнему периоду в области пожарной безопасности как на территории города Тулуна, так и на территории Тулунского района традиционно возникают новые риски — горение мусора и ландшафтные пожары (палы сухой растительности).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Отдел надзорной деятельности и профилактической работы по г. Тулуну, Тулунскому и Куйтунскому районам напоминает жителям, что в целях безопасной подготовки своих земельных участков к безопасному прохождению весенне-летнего пожароопасного периода следует соблюдать требования пожарной безопасности определенные, в том числе, Постановлением Правительства РФ от 16.09.2020 № 1479 «Об утверждении Правил противопожарного режима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Основное требование касается своевременной уборки мусора, сухой растительности и покос травы. При этом границы уборки определяются границами земельного участка на основании кадастрового или межевого плана. Тем не менее, не стоит забывать и про прилегающие к границам земельных участков территории общего пользования — вовремя убранная от заборов сухая трава и иной горючий мусор снижают шанс перехода возникшего ландшафтного пожара на сооружения и строения на вашем земельном участке.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Также следует учесть, что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вне специально отведенных и оборудованных для этого мест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, а также сжигать мусор, траву, листву и иные отходы, материалы или изделия.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Место использования открытого огня должно быть определено и оборудовано  в соответствии с приложением № 4 к Постановления Правительства РФ от 16.09.2020 № 1479 «Об утверждении Правил противопожарного режима в Российской Федерации», а именно: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1) Место использования открытого огня выполняется в виде котлована (ямы, рва) не менее чем 30 см. глубиной и не более 1 метра в диаметре либо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2)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не менее 15 метров до зданий, сооружений и иных построек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3)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4) При использовании открытого огня для сжигания сухой травы, веток, листвы и другой горючей растительности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в металлической емкости или емкости, выполненной из иных негорючих материалов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, исключающей распространение пламени и выпадение горючих материалов за пределы очага горения, минимально допустимые расстояния могут быть уменьшены вдвое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(до 7,5 метров расстояние от зданий, сооружений и иных построек и до 5 метров радиус очистки прилегающей территории)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. При этом устройство противопожарной минерализованной полосы не требуется.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5)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 и не покидать место использования открытого огня до прекращения процесса горения и тления.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6) Использование открытого огня следует прекратить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LibreOffice/6.4.7.2$Linux_X86_64 LibreOffice_project/72d9d5113b23a0ed474720f9d366fcde9a2744dd</Application>
  <Pages>2</Pages>
  <Words>574</Words>
  <Characters>3828</Characters>
  <CharactersWithSpaces>4394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2026-04-27T10:46:29Z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