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За истекшие сутки 09.01.2026 происшествия, связанных с пожарами на территории города Тулуна и Тулунского района не произошло. Всего п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о состоянию на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10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.01.2026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зарегистрировано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 3 пожара (за аналогичный период прошлого года -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7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).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Гибели и травмирования на пожарах не допущено.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В связи с понижением среднесуточных температур о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 xml:space="preserve">тдел надзорной деятельности и профилактической работы по г. Тулуну, Тулунскому и Куйтунскому районам 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призывает жителей города и района быть бдительными при эксплуатации печного отопления и электронагревательных приборов. Помните, что запрещается пользоваться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конструкцией, а также использовать для обогрева нестандартные (самодельные) электронагревательные приборы. Не оставляйте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При эксплуатации печного отопления запрещается: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оставлять без присмотра печи, которые топятся, а также поручать надзор за ними детям;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располагать топливо, другие горючие вещества и материалы на предтопочном листе;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применять для розжига печей бензин, керосин, дизельное топливо и другие легковоспламеняющиеся и горючие жидкости;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топить углем, коксом и газом печи, не предназначенные для этих видов топлива;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- перекаливать печи.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Б</w:t>
      </w:r>
      <w:r>
        <w:rPr>
          <w:rFonts w:eastAsia="Calibri" w:cs="Times New Roman" w:ascii="Tinos" w:hAnsi="Tinos" w:eastAsiaTheme="minorHAnsi"/>
          <w:color w:val="auto"/>
          <w:kern w:val="0"/>
          <w:sz w:val="32"/>
          <w:szCs w:val="32"/>
          <w:lang w:val="ru-RU" w:eastAsia="en-US" w:bidi="ar-SA"/>
        </w:rPr>
        <w:t>ерегите себя и своих близких! В случае обнаружения загорания сообщите об этом по телефону пожарной охраны 101 или 112.</w:t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eastAsia="Calibri" w:cs="Times New Roman" w:eastAsiaTheme="minorHAnsi"/>
          <w:color w:val="auto"/>
          <w:kern w:val="0"/>
          <w:sz w:val="32"/>
          <w:szCs w:val="32"/>
          <w:lang w:val="ru-RU" w:eastAsia="en-US" w:bidi="ar-SA"/>
        </w:rPr>
      </w:pPr>
      <w:r>
        <w:rPr>
          <w:rFonts w:eastAsia="Calibri" w:cs="Times New Roman" w:eastAsiaTheme="minorHAnsi" w:ascii="Tinos" w:hAnsi="Tinos"/>
          <w:color w:val="auto"/>
          <w:kern w:val="0"/>
          <w:sz w:val="32"/>
          <w:szCs w:val="32"/>
          <w:lang w:val="ru-RU" w:eastAsia="en-US" w:bidi="ar-SA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nos" w:hAnsi="Tinos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1e1ab8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uiPriority w:val="99"/>
    <w:unhideWhenUsed/>
    <w:rsid w:val="008f3c77"/>
    <w:rPr>
      <w:color w:val="0563C1" w:themeColor="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1e1ab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b0719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Application>LibreOffice/6.4.7.2$Linux_X86_64 LibreOffice_project/72d9d5113b23a0ed474720f9d366fcde9a2744dd</Application>
  <Pages>1</Pages>
  <Words>223</Words>
  <Characters>1506</Characters>
  <CharactersWithSpaces>1720</CharactersWithSpaces>
  <Paragraphs>9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2023-04-03T03:38:00Z</dcterms:created>
  <dc:creator>Admin</dc:creator>
  <dc:description/>
  <dc:language>ru-RU</dc:language>
  <cp:lastModifiedBy/>
  <dcterms:modified xsi:type="dcterms:W3CDTF">2026-01-10T09:29:17Z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