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39"/>
        <w:tblW w:w="1006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>
        <w:tblPrEx/>
        <w:trPr>
          <w:trHeight w:val="994"/>
        </w:trPr>
        <w:tc>
          <w:tcPr>
            <w:tcW w:w="4506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762246" cy="1169729"/>
                      <wp:effectExtent l="6350" t="6350" r="6350" b="6350"/>
                      <wp:docPr id="1" name="Рисунок 1" descr="C:\Users\gomanenko_gv\Desktop\герб длинный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gomanenko_gv\Desktop\герб длинный.jp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 flipH="0" flipV="0">
                                <a:off x="0" y="0"/>
                                <a:ext cx="2762246" cy="116972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17.50pt;height:92.10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  <w:tc>
          <w:tcPr>
            <w:tcW w:w="5559" w:type="dxa"/>
            <w:textDirection w:val="lrTb"/>
            <w:noWrap w:val="false"/>
          </w:tcPr>
          <w:p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  <w:r>
              <w:rPr>
                <w:rFonts w:cs="Times New Roman"/>
                <w:b/>
                <w:sz w:val="24"/>
                <w:szCs w:val="24"/>
              </w:rPr>
            </w:r>
          </w:p>
          <w:p>
            <w:pPr>
              <w:jc w:val="right"/>
              <w:rPr>
                <w:rFonts w:ascii="Inter V" w:hAnsi="Inter V" w:cs="Times New Roman"/>
                <w:b/>
              </w:rPr>
            </w:pP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  <w:r>
              <w:rPr>
                <w:rFonts w:ascii="Inter V" w:hAnsi="Inter V" w:cs="Times New Roman"/>
                <w:b/>
              </w:rPr>
            </w:r>
          </w:p>
        </w:tc>
      </w:tr>
    </w:tbl>
    <w:p>
      <w:pPr>
        <w:jc w:val="right"/>
        <w:spacing w:line="240" w:lineRule="auto"/>
        <w:tabs>
          <w:tab w:val="left" w:pos="567" w:leader="none"/>
        </w:tabs>
        <w:rPr>
          <w:rFonts w:ascii="Arial" w:hAnsi="Arial" w:cs="Arial"/>
          <w:color w:val="202122"/>
        </w:rPr>
      </w:pPr>
      <w:r>
        <w:rPr>
          <w:rFonts w:ascii="Arial" w:hAnsi="Arial" w:cs="Arial"/>
          <w:color w:val="202122"/>
          <w:highlight w:val="none"/>
          <w:shd w:val="clear" w:color="auto" w:fill="ffffff"/>
        </w:rPr>
      </w:r>
      <w:r>
        <w:rPr>
          <w:rFonts w:ascii="Arial" w:hAnsi="Arial" w:cs="Arial"/>
          <w:color w:val="202122"/>
        </w:rPr>
      </w:r>
      <w:r>
        <w:rPr>
          <w:rFonts w:ascii="Arial" w:hAnsi="Arial" w:cs="Arial"/>
          <w:color w:val="202122"/>
        </w:rPr>
      </w:r>
    </w:p>
    <w:p>
      <w:pPr>
        <w:jc w:val="right"/>
        <w:spacing w:line="240" w:lineRule="auto"/>
        <w:tabs>
          <w:tab w:val="left" w:pos="567" w:leader="none"/>
        </w:tabs>
        <w:rPr>
          <w:rFonts w:ascii="PT Astra Sans" w:hAnsi="PT Astra Sans" w:cs="PT Astra Sans"/>
          <w:color w:val="202122"/>
          <w:sz w:val="26"/>
          <w:szCs w:val="26"/>
          <w:highlight w:val="none"/>
          <w:shd w:val="clear" w:color="auto" w:fill="ffffff"/>
        </w:rPr>
      </w:pPr>
      <w:r>
        <w:rPr>
          <w:rFonts w:ascii="PT Astra Sans" w:hAnsi="PT Astra Sans" w:eastAsia="PT Astra Sans" w:cs="PT Astra Sans"/>
          <w:color w:val="202122"/>
          <w:sz w:val="26"/>
          <w:szCs w:val="26"/>
          <w:shd w:val="clear" w:color="auto" w:fill="ffffff"/>
        </w:rPr>
        <w:t xml:space="preserve">14 апреля 2025 года</w:t>
      </w:r>
      <w:r>
        <w:rPr>
          <w:rFonts w:ascii="PT Astra Sans" w:hAnsi="PT Astra Sans" w:cs="PT Astra Sans"/>
          <w:color w:val="202122"/>
          <w:sz w:val="26"/>
          <w:szCs w:val="26"/>
          <w:highlight w:val="none"/>
          <w:shd w:val="clear" w:color="auto" w:fill="ffffff"/>
        </w:rPr>
      </w:r>
      <w:r>
        <w:rPr>
          <w:rFonts w:ascii="PT Astra Sans" w:hAnsi="PT Astra Sans" w:cs="PT Astra Sans"/>
          <w:color w:val="202122"/>
          <w:sz w:val="26"/>
          <w:szCs w:val="26"/>
          <w:highlight w:val="none"/>
          <w:shd w:val="clear" w:color="auto" w:fill="ffffff"/>
        </w:rPr>
      </w:r>
    </w:p>
    <w:p>
      <w:pPr>
        <w:jc w:val="both"/>
        <w:spacing w:line="276" w:lineRule="auto"/>
        <w:tabs>
          <w:tab w:val="left" w:pos="709" w:leader="none"/>
        </w:tabs>
        <w:rPr>
          <w:rFonts w:ascii="PT Astra Sans" w:hAnsi="PT Astra Sans" w:cs="PT Astra Sans"/>
          <w:b/>
          <w:sz w:val="26"/>
          <w:szCs w:val="26"/>
        </w:rPr>
      </w:pPr>
      <w:r>
        <w:rPr>
          <w:rFonts w:ascii="PT Astra Sans" w:hAnsi="PT Astra Sans" w:eastAsia="PT Astra Sans" w:cs="PT Astra Sans"/>
          <w:b/>
          <w:sz w:val="26"/>
          <w:szCs w:val="26"/>
          <w:lang w:eastAsia="ru-RU"/>
        </w:rPr>
      </w:r>
      <w:r>
        <w:rPr>
          <w:rFonts w:ascii="PT Astra Sans" w:hAnsi="PT Astra Sans" w:cs="PT Astra Sans"/>
          <w:b/>
          <w:sz w:val="26"/>
          <w:szCs w:val="26"/>
        </w:rPr>
      </w:r>
      <w:r>
        <w:rPr>
          <w:rFonts w:ascii="PT Astra Sans" w:hAnsi="PT Astra Sans" w:cs="PT Astra Sans"/>
          <w:b/>
          <w:sz w:val="26"/>
          <w:szCs w:val="26"/>
        </w:rPr>
      </w:r>
    </w:p>
    <w:p>
      <w:pPr>
        <w:ind w:left="0" w:right="0" w:firstLine="0"/>
        <w:jc w:val="left"/>
        <w:rPr>
          <w:rFonts w:ascii="PT Astra Sans" w:hAnsi="PT Astra Sans" w:cs="PT Astra Sans"/>
          <w:b/>
          <w:bCs/>
          <w:sz w:val="28"/>
          <w:szCs w:val="28"/>
          <w:highlight w:val="yellow"/>
        </w:rPr>
      </w:pPr>
      <w:r>
        <w:rPr>
          <w:rFonts w:ascii="PT Astra Sans" w:hAnsi="PT Astra Sans" w:eastAsia="PT Astra Sans" w:cs="PT Astra Sans"/>
          <w:b/>
          <w:sz w:val="26"/>
          <w:szCs w:val="26"/>
          <w:highlight w:val="none"/>
        </w:rPr>
      </w:r>
      <w:r>
        <w:rPr>
          <w:rFonts w:ascii="PT Astra Sans" w:hAnsi="PT Astra Sans" w:cs="PT Astra Sans"/>
          <w:b/>
          <w:bCs/>
          <w:sz w:val="28"/>
          <w:szCs w:val="28"/>
          <w:highlight w:val="yellow"/>
        </w:rPr>
      </w:r>
      <w:r>
        <w:rPr>
          <w:rFonts w:ascii="PT Astra Sans" w:hAnsi="PT Astra Sans" w:cs="PT Astra Sans"/>
          <w:b/>
          <w:bCs/>
          <w:sz w:val="28"/>
          <w:szCs w:val="28"/>
          <w:highlight w:val="yellow"/>
        </w:rPr>
      </w:r>
    </w:p>
    <w:p>
      <w:pPr>
        <w:ind w:left="0" w:right="0" w:firstLine="0"/>
        <w:jc w:val="left"/>
        <w:rPr>
          <w:rFonts w:ascii="Liberation Sans" w:hAnsi="Liberation Sans" w:cs="Liberation Sans"/>
          <w:b/>
          <w:bCs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b/>
          <w:sz w:val="24"/>
          <w:szCs w:val="24"/>
        </w:rPr>
        <w:t xml:space="preserve">Росреестр Иркутской области: участники СВО могут за 1 час установить запрет на совершение сделок со своей недвижимостью  </w:t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  <w:r>
        <w:rPr>
          <w:rFonts w:ascii="Liberation Sans" w:hAnsi="Liberation Sans" w:cs="Liberation Sans"/>
          <w:b/>
          <w:bCs/>
          <w:sz w:val="24"/>
          <w:szCs w:val="24"/>
          <w:highlight w:val="none"/>
        </w:rPr>
      </w:r>
    </w:p>
    <w:p>
      <w:pPr>
        <w:ind w:left="0" w:right="0" w:firstLine="0"/>
        <w:jc w:val="both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contextualSpacing/>
        <w:ind w:firstLine="0"/>
        <w:jc w:val="both"/>
        <w:spacing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sz w:val="24"/>
          <w:szCs w:val="24"/>
          <w:lang w:eastAsia="ru-RU"/>
        </w:rPr>
        <w:t xml:space="preserve">За 1 час внести в ЕГРН отметку о запрете действий с недвижимостью без своего личного участия  – такую возможность теперь имеют участники специальной военной операции и члены их семей, бла</w:t>
      </w:r>
      <w:r>
        <w:rPr>
          <w:rFonts w:ascii="Liberation Sans" w:hAnsi="Liberation Sans" w:eastAsia="Liberation Sans" w:cs="Liberation Sans"/>
          <w:sz w:val="24"/>
          <w:szCs w:val="24"/>
          <w:lang w:eastAsia="ru-RU"/>
        </w:rPr>
        <w:t xml:space="preserve">годаря акции «Защити свою недвижимость», которая проводится региональным Управлением Росреестра совместно с МФЦ Иркутской области.</w:t>
      </w: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</w:p>
    <w:p>
      <w:pPr>
        <w:contextualSpacing/>
        <w:ind w:firstLine="0"/>
        <w:jc w:val="both"/>
        <w:spacing w:after="0" w:line="240" w:lineRule="auto"/>
        <w:rPr>
          <w:rFonts w:ascii="Liberation Sans" w:hAnsi="Liberation Sans" w:eastAsia="Liberation Sans" w:cs="Liberation Sans"/>
          <w:sz w:val="24"/>
          <w:szCs w:val="24"/>
          <w:highlight w:val="none"/>
          <w:lang w:eastAsia="ru-RU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none"/>
          <w:lang w:eastAsia="ru-RU"/>
        </w:rPr>
        <w:t xml:space="preserve">Как отмечает руководитель Управления Росреестра по Иркутской области Виктор Петрович Жердев, важно принимать все меры по поддержке наших защитников,  по реализации их законных прав.  </w:t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  <w:lang w:eastAsia="ru-RU"/>
        </w:rPr>
      </w:r>
    </w:p>
    <w:p>
      <w:pPr>
        <w:contextualSpacing/>
        <w:ind w:firstLine="0"/>
        <w:jc w:val="both"/>
        <w:spacing w:after="0" w:line="240" w:lineRule="auto"/>
        <w:rPr>
          <w:rFonts w:ascii="Liberation Sans" w:hAnsi="Liberation Sans" w:eastAsia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</w:p>
    <w:p>
      <w:pPr>
        <w:contextualSpacing/>
        <w:ind w:firstLine="0"/>
        <w:jc w:val="both"/>
        <w:spacing w:after="0" w:line="240" w:lineRule="auto"/>
        <w:rPr>
          <w:rFonts w:ascii="Liberation Sans" w:hAnsi="Liberation Sans" w:eastAsia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none"/>
          <w:lang w:eastAsia="ru-RU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  <w:lang w:eastAsia="ru-RU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</w:p>
    <w:p>
      <w:pPr>
        <w:contextualSpacing/>
        <w:ind w:firstLine="0"/>
        <w:jc w:val="both"/>
        <w:spacing w:after="0" w:line="240" w:lineRule="auto"/>
        <w:rPr>
          <w:rFonts w:ascii="Liberation Sans" w:hAnsi="Liberation Sans" w:eastAsia="Liberation Sans" w:cs="Liberation Sans"/>
          <w:sz w:val="24"/>
          <w:szCs w:val="24"/>
          <w:highlight w:val="none"/>
          <w:lang w:eastAsia="ru-RU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none"/>
          <w:lang w:eastAsia="ru-RU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  <w:lang w:eastAsia="ru-RU"/>
        </w:rPr>
        <w:t xml:space="preserve">«</w:t>
      </w:r>
      <w:r>
        <w:rPr>
          <w:rFonts w:ascii="Liberation Sans" w:hAnsi="Liberation Sans" w:eastAsia="Liberation Sans" w:cs="Liberation Sans"/>
          <w:i/>
          <w:iCs/>
          <w:sz w:val="24"/>
          <w:szCs w:val="24"/>
          <w:highlight w:val="none"/>
          <w:lang w:eastAsia="ru-RU"/>
        </w:rPr>
        <w:t xml:space="preserve">Это не первая социальная акция для участников СВО, с 2022 года Управлением вместе с МФЦ Иркутской области проводится «Регистрация за час», в рамках которой военнослужащие, члены семей, близкие родственники погибших бойцов, при обращении в отделы МФЦ имеют </w:t>
      </w:r>
      <w:r>
        <w:rPr>
          <w:rFonts w:ascii="Liberation Sans" w:hAnsi="Liberation Sans" w:eastAsia="Liberation Sans" w:cs="Liberation Sans"/>
          <w:i/>
          <w:iCs/>
          <w:sz w:val="24"/>
          <w:szCs w:val="24"/>
          <w:highlight w:val="none"/>
          <w:lang w:eastAsia="ru-RU"/>
        </w:rPr>
        <w:t xml:space="preserve">возможность получить услугу Росреестра по регистрации прав, кадастровому учету недвижимости, в максимально сокращенные сроки – за 1 час. Возможность ускоренно установить запрет сделок с недвижимостью в ЕГРН – сейчас эта услуга очень востребована у жителей </w:t>
      </w:r>
      <w:r>
        <w:rPr>
          <w:rFonts w:ascii="Liberation Sans" w:hAnsi="Liberation Sans" w:eastAsia="Liberation Sans" w:cs="Liberation Sans"/>
          <w:i/>
          <w:iCs/>
          <w:sz w:val="24"/>
          <w:szCs w:val="24"/>
          <w:highlight w:val="none"/>
          <w:lang w:eastAsia="ru-RU"/>
        </w:rPr>
        <w:t xml:space="preserve">Иркутской области, поэтому участники СВО должны иметь возможность получить ее в приоритетном порядке. Мы организовали взаимодействие таким образом, что сейчас получить эту услугу как участники (ветераны) СВО, так и члены их семей, тоже могут всего за 1 час</w:t>
      </w:r>
      <w:r>
        <w:rPr>
          <w:rFonts w:ascii="Liberation Sans" w:hAnsi="Liberation Sans" w:eastAsia="Liberation Sans" w:cs="Liberation Sans"/>
          <w:sz w:val="24"/>
          <w:szCs w:val="24"/>
          <w:highlight w:val="none"/>
          <w:lang w:eastAsia="ru-RU"/>
        </w:rPr>
        <w:t xml:space="preserve">», – пояснил Виктор Петрович.</w:t>
      </w:r>
      <w:r>
        <w:rPr>
          <w:rFonts w:ascii="Liberation Sans" w:hAnsi="Liberation Sans" w:eastAsia="Liberation Sans" w:cs="Liberation Sans"/>
          <w:sz w:val="24"/>
          <w:szCs w:val="24"/>
          <w:highlight w:val="none"/>
        </w:rPr>
      </w:r>
      <w:r>
        <w:rPr>
          <w:rFonts w:ascii="Liberation Sans" w:hAnsi="Liberation Sans" w:eastAsia="Liberation Sans" w:cs="Liberation Sans"/>
          <w:sz w:val="24"/>
          <w:szCs w:val="24"/>
          <w:highlight w:val="none"/>
          <w:lang w:eastAsia="ru-RU"/>
        </w:rPr>
      </w:r>
    </w:p>
    <w:p>
      <w:pPr>
        <w:contextualSpacing/>
        <w:ind w:firstLine="0"/>
        <w:jc w:val="both"/>
        <w:spacing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</w:p>
    <w:p>
      <w:pPr>
        <w:contextualSpacing/>
        <w:ind w:firstLine="0"/>
        <w:jc w:val="both"/>
        <w:spacing w:after="0" w:line="240" w:lineRule="auto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  <w:r>
        <w:rPr>
          <w:rFonts w:ascii="Liberation Sans" w:hAnsi="Liberation Sans" w:cs="Liberation Sans"/>
          <w:sz w:val="24"/>
          <w:szCs w:val="24"/>
          <w:highlight w:val="none"/>
        </w:rPr>
      </w:r>
    </w:p>
    <w:p>
      <w:pPr>
        <w:contextualSpacing/>
        <w:ind w:firstLine="0"/>
        <w:jc w:val="both"/>
        <w:spacing w:after="0" w:line="240" w:lineRule="auto"/>
        <w:rPr>
          <w:rFonts w:ascii="Liberation Sans" w:hAnsi="Liberation Sans" w:cs="Liberation Sans"/>
          <w:i w:val="0"/>
          <w:iCs w:val="0"/>
          <w:color w:val="000000" w:themeColor="text1"/>
        </w:rPr>
      </w:pP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lang w:eastAsia="ru-RU"/>
        </w:rPr>
        <w:t xml:space="preserve">«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lang w:eastAsia="ru-RU"/>
        </w:rPr>
        <w:t xml:space="preserve">Мыслями 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lang w:eastAsia="ru-RU"/>
        </w:rPr>
        <w:t xml:space="preserve">и делом мы с теми, кто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lang w:eastAsia="ru-RU"/>
        </w:rPr>
        <w:t xml:space="preserve"> стоит на защите рубежей нашей страны. Нет сомнений, эти мужчины - наши герои, наше надёжное и безопасное будущее. Наш долг изо всех сил поддерживать их и их семьи. Специалисты МФЦ постоянно работают на линии Министерства обороны Российской Федерации (117)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lang w:eastAsia="ru-RU"/>
        </w:rPr>
        <w:t xml:space="preserve"> и помогают людям. Совместная акция с Росреестром - это не дань требованиям, это наш способ быть рядом с людьми в трудных ситуациях и идти им навстречу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lang w:eastAsia="ru-RU"/>
        </w:rPr>
        <w:t xml:space="preserve">»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lang w:eastAsia="ru-RU"/>
        </w:rPr>
        <w:t xml:space="preserve">, - подчеркнула Анна Анатольевна Милицына, директор МФЦ Иркутской области</w:t>
      </w:r>
      <w:r>
        <w:rPr>
          <w:rFonts w:ascii="Liberation Sans" w:hAnsi="Liberation Sans" w:eastAsia="Liberation Sans" w:cs="Liberation Sans"/>
          <w:i w:val="0"/>
          <w:iCs w:val="0"/>
          <w:color w:val="000000" w:themeColor="text1"/>
          <w:sz w:val="24"/>
          <w:szCs w:val="24"/>
          <w:lang w:eastAsia="ru-RU"/>
        </w:rPr>
        <w:t xml:space="preserve">.</w:t>
      </w:r>
      <w:r>
        <w:rPr>
          <w:rFonts w:ascii="Liberation Sans" w:hAnsi="Liberation Sans" w:cs="Liberation Sans"/>
          <w:i w:val="0"/>
          <w:iCs w:val="0"/>
          <w:color w:val="000000" w:themeColor="text1"/>
        </w:rPr>
      </w:r>
      <w:r>
        <w:rPr>
          <w:rFonts w:ascii="Liberation Sans" w:hAnsi="Liberation Sans" w:cs="Liberation Sans"/>
          <w:i w:val="0"/>
          <w:iCs w:val="0"/>
          <w:color w:val="000000" w:themeColor="text1"/>
        </w:rPr>
      </w:r>
    </w:p>
    <w:p>
      <w:pPr>
        <w:contextualSpacing/>
        <w:ind w:firstLine="0"/>
        <w:jc w:val="both"/>
        <w:spacing w:after="0" w:line="240" w:lineRule="auto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none"/>
          <w:lang w:eastAsia="ru-RU"/>
        </w:rPr>
      </w:r>
      <w:r>
        <w:rPr>
          <w:rFonts w:ascii="Liberation Sans" w:hAnsi="Liberation Sans" w:eastAsia="Liberation Sans" w:cs="Liberation Sans"/>
          <w:sz w:val="24"/>
          <w:szCs w:val="24"/>
          <w:lang w:eastAsia="ru-RU"/>
        </w:rPr>
        <w:t xml:space="preserve">За подробностями можно обратиться к администраторам зала в офисах МФЦ Иркутской области, а также по телефону Управления Росреестра по Иркутской области 8(3952)450-150</w:t>
      </w:r>
      <w:r>
        <w:rPr>
          <w:rFonts w:ascii="Liberation Sans" w:hAnsi="Liberation Sans" w:eastAsia="Liberation Sans" w:cs="Liberation Sans"/>
          <w:sz w:val="24"/>
          <w:szCs w:val="24"/>
          <w:lang w:eastAsia="ru-RU"/>
        </w:rPr>
        <w:t xml:space="preserve">.</w:t>
      </w: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  <w:sz w:val="24"/>
          <w:szCs w:val="24"/>
        </w:rPr>
      </w:r>
    </w:p>
    <w:p>
      <w:pPr>
        <w:ind w:left="0" w:right="0" w:firstLine="0"/>
        <w:jc w:val="both"/>
        <w:rPr>
          <w:rFonts w:ascii="Liberation Sans" w:hAnsi="Liberation Sans" w:cs="Liberation Sans"/>
          <w:sz w:val="24"/>
          <w:szCs w:val="24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sz w:val="24"/>
          <w:szCs w:val="24"/>
          <w:highlight w:val="none"/>
          <w14:ligatures w14:val="none"/>
        </w:rPr>
      </w:r>
      <w:r>
        <w:rPr>
          <w:rFonts w:ascii="Liberation Sans" w:hAnsi="Liberation Sans" w:cs="Liberation Sans"/>
          <w:sz w:val="24"/>
          <w:szCs w:val="24"/>
          <w:highlight w:val="none"/>
          <w14:ligatures w14:val="none"/>
        </w:rPr>
      </w:r>
      <w:r>
        <w:rPr>
          <w:rFonts w:ascii="Liberation Sans" w:hAnsi="Liberation Sans" w:cs="Liberation Sans"/>
          <w:sz w:val="24"/>
          <w:szCs w:val="24"/>
          <w:highlight w:val="none"/>
          <w14:ligatures w14:val="none"/>
        </w:rPr>
      </w:r>
    </w:p>
    <w:p>
      <w:pPr>
        <w:ind w:left="0" w:right="0" w:firstLine="0"/>
        <w:jc w:val="both"/>
        <w:rPr>
          <w:rFonts w:ascii="Liberation Sans" w:hAnsi="Liberation Sans" w:cs="Liberation Sans"/>
          <w:i/>
          <w:iCs/>
          <w:sz w:val="24"/>
          <w:szCs w:val="24"/>
          <w:highlight w:val="none"/>
          <w14:ligatures w14:val="none"/>
        </w:rPr>
      </w:pPr>
      <w:r>
        <w:rPr>
          <w:rFonts w:ascii="Liberation Sans" w:hAnsi="Liberation Sans" w:eastAsia="Liberation Sans" w:cs="Liberation Sans"/>
          <w:i/>
          <w:iCs/>
          <w:sz w:val="24"/>
          <w:szCs w:val="24"/>
          <w:highlight w:val="none"/>
          <w14:ligatures w14:val="none"/>
        </w:rPr>
        <w:t xml:space="preserve">Пресс-служба Управления Росреестра по Иркутской области</w:t>
      </w:r>
      <w:r>
        <w:rPr>
          <w:rFonts w:ascii="Liberation Sans" w:hAnsi="Liberation Sans" w:cs="Liberation Sans"/>
          <w:i/>
          <w:iCs/>
          <w:sz w:val="24"/>
          <w:szCs w:val="24"/>
          <w:highlight w:val="none"/>
          <w14:ligatures w14:val="none"/>
        </w:rPr>
      </w:r>
      <w:r>
        <w:rPr>
          <w:rFonts w:ascii="Liberation Sans" w:hAnsi="Liberation Sans" w:cs="Liberation Sans"/>
          <w:i/>
          <w:iCs/>
          <w:sz w:val="24"/>
          <w:szCs w:val="24"/>
          <w:highlight w:val="none"/>
          <w14:ligatures w14:val="none"/>
        </w:rPr>
      </w:r>
    </w:p>
    <w:p>
      <w:pPr>
        <w:jc w:val="both"/>
        <w:spacing w:line="276" w:lineRule="auto"/>
        <w:tabs>
          <w:tab w:val="left" w:pos="567" w:leader="none"/>
        </w:tabs>
        <w:rPr>
          <w:rFonts w:ascii="PT Astra Sans" w:hAnsi="PT Astra Sans" w:cs="PT Astra Sans"/>
          <w:sz w:val="26"/>
          <w:szCs w:val="26"/>
          <w:highlight w:val="none"/>
          <w:shd w:val="clear" w:color="auto" w:fill="ffffff"/>
        </w:rPr>
      </w:pPr>
      <w:r>
        <w:rPr>
          <w:rFonts w:ascii="PT Astra Sans" w:hAnsi="PT Astra Sans" w:cs="PT Astra Sans"/>
          <w:sz w:val="26"/>
          <w:szCs w:val="26"/>
          <w:highlight w:val="none"/>
          <w:shd w:val="clear" w:color="auto" w:fill="ffffff"/>
        </w:rPr>
      </w:r>
      <w:r>
        <w:rPr>
          <w:rFonts w:ascii="PT Astra Sans" w:hAnsi="PT Astra Sans" w:cs="PT Astra Sans"/>
          <w:sz w:val="26"/>
          <w:szCs w:val="26"/>
          <w:highlight w:val="none"/>
          <w:shd w:val="clear" w:color="auto" w:fill="ffffff"/>
        </w:rPr>
      </w:r>
      <w:r>
        <w:rPr>
          <w:rFonts w:ascii="PT Astra Sans" w:hAnsi="PT Astra Sans" w:cs="PT Astra Sans"/>
          <w:sz w:val="26"/>
          <w:szCs w:val="26"/>
          <w:highlight w:val="none"/>
          <w:shd w:val="clear" w:color="auto" w:fill="ffffff"/>
        </w:rPr>
      </w:r>
    </w:p>
    <w:sectPr>
      <w:footnotePr/>
      <w:endnotePr/>
      <w:type w:val="nextPage"/>
      <w:pgSz w:w="11906" w:h="16838" w:orient="portrait"/>
      <w:pgMar w:top="851" w:right="849" w:bottom="709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PT Astra Sans">
    <w:panose1 w:val="020B0603020203020204"/>
  </w:font>
  <w:font w:name="Times New Roman">
    <w:panose1 w:val="02020603050405020304"/>
  </w:font>
  <w:font w:name="Inter V">
    <w:panose1 w:val="02000603000000000000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1"/>
    <w:next w:val="831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2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1"/>
    <w:next w:val="831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2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2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2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2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2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2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2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1"/>
    <w:next w:val="831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2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1"/>
    <w:next w:val="831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2"/>
    <w:link w:val="675"/>
    <w:uiPriority w:val="10"/>
    <w:rPr>
      <w:sz w:val="48"/>
      <w:szCs w:val="48"/>
    </w:rPr>
  </w:style>
  <w:style w:type="paragraph" w:styleId="677">
    <w:name w:val="Subtitle"/>
    <w:basedOn w:val="831"/>
    <w:next w:val="831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2"/>
    <w:link w:val="677"/>
    <w:uiPriority w:val="11"/>
    <w:rPr>
      <w:sz w:val="24"/>
      <w:szCs w:val="24"/>
    </w:rPr>
  </w:style>
  <w:style w:type="paragraph" w:styleId="679">
    <w:name w:val="Quote"/>
    <w:basedOn w:val="831"/>
    <w:next w:val="831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1"/>
    <w:next w:val="831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1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2"/>
    <w:link w:val="683"/>
    <w:uiPriority w:val="99"/>
  </w:style>
  <w:style w:type="paragraph" w:styleId="685">
    <w:name w:val="Footer"/>
    <w:basedOn w:val="831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2"/>
    <w:link w:val="685"/>
    <w:uiPriority w:val="99"/>
  </w:style>
  <w:style w:type="paragraph" w:styleId="687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Balloon Text"/>
    <w:basedOn w:val="831"/>
    <w:link w:val="83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6" w:customStyle="1">
    <w:name w:val="Текст выноски Знак"/>
    <w:basedOn w:val="832"/>
    <w:link w:val="835"/>
    <w:uiPriority w:val="99"/>
    <w:semiHidden/>
    <w:rPr>
      <w:rFonts w:ascii="Segoe UI" w:hAnsi="Segoe UI" w:cs="Segoe UI"/>
      <w:sz w:val="18"/>
      <w:szCs w:val="18"/>
    </w:rPr>
  </w:style>
  <w:style w:type="character" w:styleId="837">
    <w:name w:val="Hyperlink"/>
    <w:basedOn w:val="832"/>
    <w:uiPriority w:val="99"/>
    <w:unhideWhenUsed/>
    <w:rPr>
      <w:color w:val="0563c1" w:themeColor="hyperlink"/>
      <w:u w:val="single"/>
    </w:rPr>
  </w:style>
  <w:style w:type="paragraph" w:styleId="838">
    <w:name w:val="List Paragraph"/>
    <w:basedOn w:val="831"/>
    <w:uiPriority w:val="34"/>
    <w:qFormat/>
    <w:pPr>
      <w:contextualSpacing/>
      <w:ind w:left="720"/>
    </w:pPr>
  </w:style>
  <w:style w:type="table" w:styleId="839">
    <w:name w:val="Table Grid"/>
    <w:basedOn w:val="83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0" w:customStyle="1">
    <w:name w:val="object"/>
    <w:basedOn w:val="832"/>
  </w:style>
  <w:style w:type="paragraph" w:styleId="841">
    <w:name w:val="Normal (Web)"/>
    <w:basedOn w:val="83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2">
    <w:name w:val="Strong"/>
    <w:basedOn w:val="832"/>
    <w:uiPriority w:val="22"/>
    <w:qFormat/>
    <w:rPr>
      <w:b/>
      <w:bCs/>
    </w:rPr>
  </w:style>
  <w:style w:type="character" w:styleId="843">
    <w:name w:val="Emphasis"/>
    <w:basedOn w:val="832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B691FF-B675-4C0E-AE14-3D9DE186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revision>17</cp:revision>
  <dcterms:created xsi:type="dcterms:W3CDTF">2024-01-09T04:46:00Z</dcterms:created>
  <dcterms:modified xsi:type="dcterms:W3CDTF">2025-04-14T02:32:21Z</dcterms:modified>
</cp:coreProperties>
</file>