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13 мая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jc w:val="both"/>
        <w:rPr>
          <w:b/>
          <w:bCs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Участок в зоне затопления: какие могут быть последствия?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В последние годы в России особую значимость приобрело определение границ зон затопления и подтопления и внесение границ таких зон в Единый государственный реестр недвижимости (ЕГРН).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Такие зоны важно определить для того, чтобы было четкое понимание на каких конкретно участках есть риск стихийного бедствия, это делается для защиты жизни и здоровья местных жителей, а также для минимизации возможных имущественных потерь.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Установление границ зон затопления и подтопления имеет значение как для правильного управления территорией местными властями, так и для собственников и покупателей земли, ведь нужно понимать, что на таком участке можно делать, а что нельзя.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Д</w:t>
      </w:r>
      <w:r>
        <w:rPr>
          <w:rFonts w:ascii="PT Astra Serif" w:hAnsi="PT Astra Serif" w:cs="PT Astra Serif"/>
          <w:sz w:val="24"/>
          <w:szCs w:val="24"/>
        </w:rPr>
        <w:t xml:space="preserve">ля участков, попадающих в такие зоны, законом установлен особый режим их использования. На таких территориях нельзя создавать новые населенные пункты, строить объекты недвижимости без особой инженерной защиты, нельзя размещать кладбища и свалки, распылять </w:t>
      </w:r>
      <w:r>
        <w:rPr>
          <w:rFonts w:ascii="PT Astra Serif" w:hAnsi="PT Astra Serif" w:cs="PT Astra Serif"/>
          <w:sz w:val="24"/>
          <w:szCs w:val="24"/>
        </w:rPr>
        <w:t xml:space="preserve">химикаты и так далее.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Поэтому принципиальную важность несет внесение точных границ таких зон в ЕГРН, чтобы любой желающий, например, при покупке земли мог увидеть, что такой участок попадает в зону затопления.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К</w:t>
      </w:r>
      <w:r>
        <w:rPr>
          <w:rFonts w:ascii="PT Astra Serif" w:hAnsi="PT Astra Serif" w:cs="PT Astra Serif"/>
          <w:sz w:val="24"/>
          <w:szCs w:val="24"/>
        </w:rPr>
        <w:t xml:space="preserve">ак пояснила заместитель руководителя Управления Росреестра по Иркутской области Лариса Михайловна Варфоломеева, самый быстрый способ узнать попадает ли конкретный земельный участок в зону затопления – обратиться к публичной кадастровой карте, доступной на </w:t>
      </w:r>
      <w:r>
        <w:rPr>
          <w:rFonts w:ascii="PT Astra Serif" w:hAnsi="PT Astra Serif" w:cs="PT Astra Serif"/>
          <w:sz w:val="24"/>
          <w:szCs w:val="24"/>
        </w:rPr>
        <w:t xml:space="preserve">Единой цифровой платформе «Национальная система пространственных данных». Кроме того, такие сведения можно узнать, запросив официальную выписку из ЕГРН (ее можно заказать в электронном виде или обратившись в офис МФЦ).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pStyle w:val="831"/>
        <w:jc w:val="both"/>
        <w:rPr>
          <w:rFonts w:ascii="PT Astra Serif" w:hAnsi="PT Astra Serif" w:cs="PT Astra Serif"/>
          <w:i w:val="0"/>
          <w:iCs w:val="0"/>
          <w:sz w:val="24"/>
          <w:szCs w:val="24"/>
        </w:rPr>
      </w:pP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Зоны затопления и подтопления определены на территории 400 населенных пунктов Иркутской области. 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В нас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тоящее время в ЕГРН внесено 1039 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зон затопления и подтопления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, из них 436 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зон затопления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 и 603 зоны 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подтопления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 - 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отметил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а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 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заместитель директора – главный технолог 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филиала ППК «Роскадастр» по Иркутской области 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Любовь Витальевна Рыбаченко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  <w:t xml:space="preserve">.</w:t>
      </w:r>
      <w:r>
        <w:rPr>
          <w:rFonts w:ascii="PT Astra Serif" w:hAnsi="PT Astra Serif" w:cs="PT Astra Serif"/>
          <w:i w:val="0"/>
          <w:iCs w:val="0"/>
          <w:sz w:val="24"/>
          <w:szCs w:val="24"/>
        </w:rPr>
      </w:r>
      <w:r>
        <w:rPr>
          <w:rFonts w:ascii="PT Astra Serif" w:hAnsi="PT Astra Serif" w:cs="PT Astra Serif"/>
          <w:i w:val="0"/>
          <w:iCs w:val="0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Для справки: Разница между затоплением и подтоплением состоит в том, что подтопление происходит за счет поднятия из-под земли грунтовых вод, а затопление – в результате выпадения осадков или разлива водоемов.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31</cp:revision>
  <dcterms:created xsi:type="dcterms:W3CDTF">2024-02-13T03:39:00Z</dcterms:created>
  <dcterms:modified xsi:type="dcterms:W3CDTF">2025-05-12T02:12:47Z</dcterms:modified>
</cp:coreProperties>
</file>