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24 ноября 2025 года</w:t>
      </w:r>
      <w:r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Строение: недвижимость или нет?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Жители Иркутской области часто обращаются в Управление Росреестра по Иркутской области с вопросами об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отнесении конкретного строения к недвижимости.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Это важно, ведь от этого зависит нужно ли ставить такое строение на кадастровый учет и регистрировать право на него в Едином государственном реестре недвижимости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Если право на такой объект не будет оф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ормлено, то его пользователь не станет собственником и не сможет совершать сделки: продавать, дарить, обменивать. Кроме того, такое здание нельзя будет передать по наследству. Защитить свои права в спорах (например, в суде) также будет крайне сложно.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Поэтому, очень важно четко понимать чем вы владеете – недвижимым или движимым имуществом.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 законе такие объекты недвижимости называются объектами капитального строительства. К объектам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капитального строительства относятся здания, строения, сооружения, объекты незавершенного строительства.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Исключение составляют некапитальные строения, сооружения, а также так называемые неотделимые улучшения земельного участка, такие как замощение, покрытие и другие.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Это значит, что главное, что нужно выяснить – это степень капитальности вашего строения, то есть определить насколько прочно строение связано с землей, можно ли его сдвинуть с места так, чтобы не разрушить.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Так например можно отличить капитальный гараж на фундаменте от металлического гаража, который в любой момент может быть перемещен. Первый гараж будет недвижимостью, второй нет. Также к некапитальным строениям можно отнести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киоски, навесы и другие подобные объекты.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Как поясняет начальник отдела регистрации недвижимости № 4 Управления Росреестра по Иркутской области Юлия Валерьевна Яхненко,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признаки зданий и сооружений как недвижимого имущества указываются еще на стадии планирования строительства - в задании на выполнение инженерных изысканий, а также в проектной документации.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 этом специалист, который поможет установить является ли ваш конкретный объект недвижимостью – это кадастровый инженер.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По информации директора филиала КИРС СРО Ассоциации кадастровых инженеров «Содружество» Светланы Видутисовны Юревичуте, в силу закона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кадастровый инженер не только должен определить, относится ли здание к недвижимости, но и обязан отказаться от заключения договора подряда на выполнение кадастровы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х работ в случае, если объект не явл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яется объектом недвижимости.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eastAsia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Кстати, выбрать кадастрового инженера вам поможет реестр кадастровых инженеров, размещенный на сайте Росреестра, а также Рейтинг кадастровых инженеров, который ежеквартально составляет Управление Росреестра по Иркутской области.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Задать вопросы, связанные с кадастровым учетом объектов недвижимости, вы можете по бесплатному справочному телефону Управления Росреестра по иркутской области 8(3952) 450-150.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pPr>
      <w:r>
        <w:rPr>
          <w:rFonts w:ascii="PT Astra Sans" w:hAnsi="PT Astra Sans" w:eastAsia="PT Astra Sans" w:cs="PT Astra Sans"/>
          <w:i/>
          <w:iCs/>
          <w:sz w:val="22"/>
          <w:szCs w:val="22"/>
          <w:highlight w:val="none"/>
        </w:rPr>
        <w:t xml:space="preserve">Пресс-служба Управления Росреестра по Иркутской области</w:t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37</cp:revision>
  <dcterms:created xsi:type="dcterms:W3CDTF">2024-02-13T03:39:00Z</dcterms:created>
  <dcterms:modified xsi:type="dcterms:W3CDTF">2025-11-19T06:23:47Z</dcterms:modified>
</cp:coreProperties>
</file>