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426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27 ноября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202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4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года</w:t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b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b/>
          <w:color w:val="202122"/>
          <w:sz w:val="24"/>
          <w:szCs w:val="24"/>
          <w:shd w:val="clear" w:color="auto" w:fill="ffffff"/>
        </w:rPr>
      </w:r>
    </w:p>
    <w:p>
      <w:pPr>
        <w:rPr>
          <w:b/>
          <w:bCs/>
        </w:rPr>
      </w:pPr>
      <w:r>
        <w:rPr>
          <w:b/>
          <w:bCs/>
          <w:highlight w:val="none"/>
        </w:rPr>
        <w:t xml:space="preserve">Росреестр против незаконного майнинга</w:t>
      </w:r>
      <w:r>
        <w:rPr>
          <w:b/>
          <w:bCs/>
        </w:rPr>
      </w:r>
      <w:r>
        <w:rPr>
          <w:b/>
          <w:bCs/>
        </w:rPr>
      </w:r>
    </w:p>
    <w:p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В июне 2024 года в Управление Росреестра по Иркутской области из органов прокуратуры поступила информация о возбуждении дела об административном правонарушении в отношении генерального директора одной из иркутских организаций.</w:t>
      </w:r>
      <w:r/>
      <w:r/>
    </w:p>
    <w:p>
      <w:r>
        <w:t xml:space="preserve">Выяснилось, что на земельных участках, принадлежащих указанной организации и предназначенных  для  объектов коммунального и складского назначения, размещено </w:t>
      </w:r>
      <w:r>
        <w:t xml:space="preserve">оборудование для майнинга.</w:t>
      </w:r>
      <w:r/>
      <w:r/>
    </w:p>
    <w:p>
      <w:r>
        <w:t xml:space="preserve">Изучив документы, земельные инспекторы Управления Росреестра установили, что организация ведет деятельность, которая противоречит виду разрешенного использования, определенному для этого земельного участка. А значит, такая деятельность является незаконной.</w:t>
      </w:r>
      <w:r/>
      <w:r/>
    </w:p>
    <w:p>
      <w:r>
        <w:t xml:space="preserve">В августе 2024 года генеральный директор указанного юридического лица был признан Управлением Росреестра виновным в совершении административного правонарушения. В качеств</w:t>
      </w:r>
      <w:r>
        <w:t xml:space="preserve">е меры административного наказания был назначен штраф в размере 300 000 рублей.</w:t>
      </w:r>
      <w:r/>
      <w:r/>
    </w:p>
    <w:p>
      <w:pPr>
        <w:rPr>
          <w:highlight w:val="none"/>
        </w:rPr>
      </w:pPr>
      <w:r>
        <w:t xml:space="preserve">Органи</w:t>
      </w:r>
      <w:r>
        <w:t xml:space="preserve">зация пыталась оспорить постановление о назначении административного наказания  в Арбитражном суде Иркутской области, однако суд отказал в удовлетворении требований. Решение суда вступило в законную силу, и штраф должнику пришлось оплатить в полном объеме.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Начальник отдела государственного земельного надзора Управления </w:t>
      </w:r>
      <w:r>
        <w:rPr>
          <w:highlight w:val="none"/>
        </w:rPr>
        <w:t xml:space="preserve">Росреестра по Иркутской области Антон Валерьевич Кошкарев отметил, что опыт привлечения к ответственности за подобную деятельность как несоответствующую цели предоставления земельного участка, является первым для Управления Росреестра по Иркутской области.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spacing w:after="0" w:line="276" w:lineRule="auto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contextualSpacing/>
      <w:ind w:left="720"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21</cp:revision>
  <dcterms:created xsi:type="dcterms:W3CDTF">2022-05-25T09:41:00Z</dcterms:created>
  <dcterms:modified xsi:type="dcterms:W3CDTF">2024-11-26T00:54:29Z</dcterms:modified>
</cp:coreProperties>
</file>