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41"/>
        <w:tblW w:w="100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56"/>
        <w:gridCol w:w="5409"/>
      </w:tblGrid>
      <w:tr>
        <w:tblPrEx/>
        <w:trPr>
          <w:trHeight w:val="994"/>
        </w:trPr>
        <w:tc>
          <w:tcPr>
            <w:tcW w:w="45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811591" cy="1190625"/>
                      <wp:effectExtent l="0" t="0" r="8255" b="0"/>
                      <wp:docPr id="1" name="Рисунок 1" descr="C:\Users\gomanenko_gv\Desktop\герб длинный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gomanenko_gv\Desktop\герб длинный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891070" cy="12242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21.39pt;height:93.7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559" w:type="dxa"/>
            <w:textDirection w:val="lrTb"/>
            <w:noWrap w:val="false"/>
          </w:tcPr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jc w:val="right"/>
              <w:rPr>
                <w:rFonts w:ascii="Inter V" w:hAnsi="Inter V" w:cs="Times New Roman"/>
                <w:b/>
              </w:rPr>
            </w:pPr>
            <w:r>
              <w:rPr>
                <w:rFonts w:ascii="Inter V" w:hAnsi="Inter V" w:cs="Times New Roman"/>
                <w:b/>
              </w:rPr>
            </w:r>
            <w:r>
              <w:rPr>
                <w:rFonts w:ascii="Inter V" w:hAnsi="Inter V" w:cs="Times New Roman"/>
                <w:b/>
              </w:rPr>
            </w:r>
            <w:r>
              <w:rPr>
                <w:rFonts w:ascii="Inter V" w:hAnsi="Inter V" w:cs="Times New Roman"/>
                <w:b/>
              </w:rPr>
            </w:r>
          </w:p>
        </w:tc>
      </w:tr>
    </w:tbl>
    <w:p>
      <w:pPr>
        <w:jc w:val="right"/>
        <w:spacing w:line="240" w:lineRule="auto"/>
        <w:tabs>
          <w:tab w:val="left" w:pos="567" w:leader="none"/>
        </w:tabs>
        <w:rPr>
          <w:rFonts w:ascii="PT Astra Sans" w:hAnsi="PT Astra Sans" w:cs="PT Astra Sans"/>
          <w:color w:val="202122"/>
          <w:sz w:val="26"/>
          <w:szCs w:val="26"/>
          <w:shd w:val="clear" w:color="auto" w:fill="ffffff"/>
        </w:rPr>
      </w:pPr>
      <w:r>
        <w:rPr>
          <w:rFonts w:ascii="PT Astra Sans" w:hAnsi="PT Astra Sans" w:eastAsia="PT Astra Sans" w:cs="PT Astra Sans"/>
          <w:color w:val="202122"/>
          <w:sz w:val="26"/>
          <w:szCs w:val="26"/>
          <w:shd w:val="clear" w:color="auto" w:fill="ffffff"/>
        </w:rPr>
        <w:t xml:space="preserve">20 мая 2026 года</w:t>
      </w:r>
      <w:r>
        <w:rPr>
          <w:rFonts w:ascii="PT Astra Sans" w:hAnsi="PT Astra Sans" w:cs="PT Astra Sans"/>
          <w:color w:val="202122"/>
          <w:sz w:val="26"/>
          <w:szCs w:val="26"/>
          <w:shd w:val="clear" w:color="auto" w:fill="ffffff"/>
        </w:rPr>
      </w:r>
      <w:r>
        <w:rPr>
          <w:rFonts w:ascii="PT Astra Sans" w:hAnsi="PT Astra Sans" w:cs="PT Astra Sans"/>
          <w:color w:val="202122"/>
          <w:sz w:val="26"/>
          <w:szCs w:val="26"/>
          <w:shd w:val="clear" w:color="auto" w:fill="ffffff"/>
        </w:rPr>
      </w:r>
    </w:p>
    <w:p>
      <w:pPr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jc w:val="both"/>
        <w:spacing w:after="0" w:line="240" w:lineRule="auto"/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r>
    </w:p>
    <w:p>
      <w:pPr>
        <w:jc w:val="both"/>
        <w:spacing w:after="0" w:line="240" w:lineRule="auto"/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  <w:t xml:space="preserve">Росреестр Приангарья разъяснил, что нужно проверить перед сделкой</w:t>
      </w: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r>
    </w:p>
    <w:p>
      <w:pPr>
        <w:jc w:val="both"/>
        <w:spacing w:after="0" w:line="240" w:lineRule="auto"/>
        <w:rPr>
          <w:rFonts w:ascii="Liberation Sans" w:hAnsi="Liberation Sans" w:cs="Liberation Sans"/>
          <w:b/>
          <w:bCs/>
          <w:sz w:val="24"/>
          <w:szCs w:val="24"/>
        </w:rPr>
      </w:pP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</w:rPr>
      </w:r>
      <w:r>
        <w:rPr>
          <w:rFonts w:ascii="Liberation Sans" w:hAnsi="Liberation Sans" w:cs="Liberation Sans"/>
          <w:b/>
          <w:bCs/>
          <w:sz w:val="24"/>
          <w:szCs w:val="24"/>
        </w:rPr>
      </w:r>
    </w:p>
    <w:p>
      <w:pPr>
        <w:contextualSpacing/>
        <w:jc w:val="both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contextualSpacing/>
        <w:jc w:val="both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Для того, чтобы регистрация прав на недвижимость прошла в короткий срок и без приостановлений, все документы должны быть в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порядке. Начальник Тулунского межмуниципального отдела Управления Росреестра по Иркутской области Екатерина Юрьевна Зеленкова рассказала, на что стоить обратить внимание при заключении сделки, предметом которой являются объекты капитального строительства. </w:t>
      </w: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contextualSpacing/>
        <w:jc w:val="both"/>
        <w:rPr>
          <w:rFonts w:ascii="Liberation Sans" w:hAnsi="Liberation Sans" w:eastAsia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</w:r>
    </w:p>
    <w:p>
      <w:pPr>
        <w:contextualSpacing/>
        <w:jc w:val="both"/>
        <w:rPr>
          <w:rFonts w:ascii="Liberation Sans" w:hAnsi="Liberation Sans" w:eastAsia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Перед подписанием договора, предметом которого является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здание  жилого и нежилого назначения, помещение, сооружение или машино-место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нужно проверить:</w:t>
      </w: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</w:r>
    </w:p>
    <w:p>
      <w:pPr>
        <w:contextualSpacing/>
        <w:jc w:val="both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- дееспособность сторон договора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,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contextualSpacing/>
        <w:ind w:left="0" w:firstLine="0"/>
        <w:jc w:val="both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-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наличие полномочий у представителей, действующих от имени сторон,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contextualSpacing/>
        <w:ind w:left="0" w:firstLine="0"/>
        <w:jc w:val="both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-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наличие в договоре существенных условий сделки, таких к примеру, как предмет договора купли-продажи, цена недвижимого имущества и другие,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contextualSpacing/>
        <w:ind w:left="0" w:firstLine="0"/>
        <w:jc w:val="both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-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отсутствие ограничений прав и обременений в виде ипотеки, аренды, запрета на осуществление регистрационных действий или ареста,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contextualSpacing/>
        <w:ind w:left="0" w:firstLine="0"/>
        <w:jc w:val="both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-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наличие у продавца официально оформленного права на объект недвижимости.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contextualSpacing/>
        <w:ind w:left="0" w:firstLine="0"/>
        <w:jc w:val="both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contextualSpacing/>
        <w:ind w:left="0" w:firstLine="0"/>
        <w:jc w:val="both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«Соблюдение этих требований заявителями  позволило государственным регистраторам отдела принять положительные решения по более чем 450 обращениям за государственной регистрацией права на недвижимость в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период с 27 по 30 апреля 2026 года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», – отметила Екатерина Юрьевна.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contextualSpacing/>
        <w:ind w:left="0" w:firstLine="0"/>
        <w:jc w:val="both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contextualSpacing/>
        <w:ind w:left="0" w:firstLine="0"/>
        <w:jc w:val="both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Тщат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ельная подготовка документов, представляемых в Росреестр для проведения учетно-регистрационных действий, а также использование электронных сервисов для подачи документов, поможет получить положительный результат в максимально короткий срок – всего за 1 день. При возникновении вопросов можно проконсультироваться по справочному телефону 8(3952)450-150.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contextualSpacing/>
        <w:ind w:left="0" w:right="0" w:firstLine="0"/>
        <w:jc w:val="both"/>
        <w:spacing w:before="0" w:after="0" w:line="283" w:lineRule="atLeast"/>
        <w:rPr>
          <w:rFonts w:ascii="Liberation Sans" w:hAnsi="Liberation Sans" w:cs="Liberation San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contextualSpacing/>
        <w:ind w:left="0" w:right="0" w:firstLine="0"/>
        <w:jc w:val="both"/>
        <w:spacing w:before="0" w:after="0" w:line="283" w:lineRule="atLeast"/>
        <w:rPr>
          <w:rFonts w:ascii="Liberation Sans" w:hAnsi="Liberation Sans" w:cs="Liberation San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i/>
          <w:color w:val="292c2f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i/>
          <w:color w:val="292c2f"/>
          <w:sz w:val="24"/>
          <w:szCs w:val="24"/>
          <w:highlight w:val="none"/>
        </w:rPr>
      </w:r>
    </w:p>
    <w:p>
      <w:pPr>
        <w:contextualSpacing/>
        <w:ind w:left="0" w:right="0" w:firstLine="0"/>
        <w:jc w:val="both"/>
        <w:spacing w:before="0" w:after="0" w:line="283" w:lineRule="atLeast"/>
        <w:rPr>
          <w:rFonts w:ascii="Liberation Sans" w:hAnsi="Liberation Sans" w:eastAsia="Liberation Sans" w:cs="Liberation Sans"/>
          <w:bCs/>
          <w:i/>
          <w:color w:val="292c2f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i/>
          <w:color w:val="292c2f"/>
          <w:sz w:val="24"/>
          <w:szCs w:val="24"/>
        </w:rPr>
        <w:t xml:space="preserve">Пресс-служба Управления Росреестра по Иркутской области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bCs/>
          <w:i/>
          <w:color w:val="292c2f"/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851" w:right="849" w:bottom="426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ans">
    <w:panose1 w:val="020B06030202030202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Inter V">
    <w:panose1 w:val="02000508030000020003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3"/>
    <w:next w:val="833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4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3"/>
    <w:next w:val="833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4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4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4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4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4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4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4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3"/>
    <w:next w:val="833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4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3"/>
    <w:next w:val="833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basedOn w:val="834"/>
    <w:link w:val="677"/>
    <w:uiPriority w:val="10"/>
    <w:rPr>
      <w:sz w:val="48"/>
      <w:szCs w:val="48"/>
    </w:rPr>
  </w:style>
  <w:style w:type="paragraph" w:styleId="679">
    <w:name w:val="Subtitle"/>
    <w:basedOn w:val="833"/>
    <w:next w:val="833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basedOn w:val="834"/>
    <w:link w:val="679"/>
    <w:uiPriority w:val="11"/>
    <w:rPr>
      <w:sz w:val="24"/>
      <w:szCs w:val="24"/>
    </w:rPr>
  </w:style>
  <w:style w:type="paragraph" w:styleId="681">
    <w:name w:val="Quote"/>
    <w:basedOn w:val="833"/>
    <w:next w:val="833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3"/>
    <w:next w:val="833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basedOn w:val="834"/>
    <w:link w:val="685"/>
    <w:uiPriority w:val="99"/>
  </w:style>
  <w:style w:type="paragraph" w:styleId="687">
    <w:name w:val="Footer"/>
    <w:basedOn w:val="833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basedOn w:val="834"/>
    <w:link w:val="687"/>
    <w:uiPriority w:val="99"/>
  </w:style>
  <w:style w:type="paragraph" w:styleId="689">
    <w:name w:val="Caption"/>
    <w:basedOn w:val="833"/>
    <w:next w:val="833"/>
    <w:link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689"/>
    <w:link w:val="687"/>
    <w:uiPriority w:val="99"/>
  </w:style>
  <w:style w:type="table" w:styleId="691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Balloon Text"/>
    <w:basedOn w:val="833"/>
    <w:link w:val="83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8" w:customStyle="1">
    <w:name w:val="Текст выноски Знак"/>
    <w:basedOn w:val="834"/>
    <w:link w:val="837"/>
    <w:uiPriority w:val="99"/>
    <w:semiHidden/>
    <w:rPr>
      <w:rFonts w:ascii="Segoe UI" w:hAnsi="Segoe UI" w:cs="Segoe UI"/>
      <w:sz w:val="18"/>
      <w:szCs w:val="18"/>
    </w:rPr>
  </w:style>
  <w:style w:type="character" w:styleId="839">
    <w:name w:val="Hyperlink"/>
    <w:basedOn w:val="834"/>
    <w:uiPriority w:val="99"/>
    <w:unhideWhenUsed/>
    <w:rPr>
      <w:color w:val="0563c1" w:themeColor="hyperlink"/>
      <w:u w:val="single"/>
    </w:rPr>
  </w:style>
  <w:style w:type="paragraph" w:styleId="840">
    <w:name w:val="List Paragraph"/>
    <w:basedOn w:val="833"/>
    <w:uiPriority w:val="34"/>
    <w:qFormat/>
    <w:pPr>
      <w:contextualSpacing/>
      <w:ind w:left="720"/>
    </w:pPr>
  </w:style>
  <w:style w:type="table" w:styleId="841">
    <w:name w:val="Table Grid"/>
    <w:basedOn w:val="83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42" w:customStyle="1">
    <w:name w:val="object"/>
    <w:basedOn w:val="834"/>
  </w:style>
  <w:style w:type="paragraph" w:styleId="843">
    <w:name w:val="Normal (Web)"/>
    <w:basedOn w:val="833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4">
    <w:name w:val="Strong"/>
    <w:basedOn w:val="834"/>
    <w:uiPriority w:val="22"/>
    <w:qFormat/>
    <w:rPr>
      <w:b/>
      <w:bCs/>
    </w:rPr>
  </w:style>
  <w:style w:type="character" w:styleId="845">
    <w:name w:val="Emphasis"/>
    <w:basedOn w:val="834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30731-50C2-48B4-ABE6-4C8323D0F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>Единый ресурс о земле и недвижимости</cp:keywords>
  <dc:description/>
  <cp:lastModifiedBy>Гоманенко</cp:lastModifiedBy>
  <cp:revision>46</cp:revision>
  <dcterms:created xsi:type="dcterms:W3CDTF">2024-02-13T03:39:00Z</dcterms:created>
  <dcterms:modified xsi:type="dcterms:W3CDTF">2026-05-20T03:18:10Z</dcterms:modified>
</cp:coreProperties>
</file>