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tabs>
          <w:tab w:val="left" w:pos="567" w:leader="none"/>
        </w:tabs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jc w:val="right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81887</wp:posOffset>
                </wp:positionH>
                <wp:positionV relativeFrom="paragraph">
                  <wp:posOffset>135672</wp:posOffset>
                </wp:positionV>
                <wp:extent cx="2226780" cy="942975"/>
                <wp:effectExtent l="0" t="0" r="2540" b="0"/>
                <wp:wrapSquare wrapText="bothSides"/>
                <wp:docPr id="1" name="Рисунок 1" descr="C:\Users\gomanenko_gv\Desktop\герб длинный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omanenko_gv\Desktop\герб длинный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22678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6.45pt;mso-position-horizontal:absolute;mso-position-vertical-relative:text;margin-top:10.68pt;mso-position-vertical:absolute;width:175.34pt;height:74.25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Arial" w:hAnsi="Arial" w:eastAsia="Times New Roman" w:cs="Arial"/>
          <w:lang w:eastAsia="ru-RU"/>
        </w:rPr>
        <w:t xml:space="preserve"> 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right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right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right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25 сентября 2025</w:t>
      </w:r>
      <w:r>
        <w:rPr>
          <w:rFonts w:ascii="Arial" w:hAnsi="Arial" w:eastAsia="Times New Roman" w:cs="Arial"/>
          <w:lang w:eastAsia="ru-RU"/>
        </w:rPr>
        <w:t xml:space="preserve"> года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after="12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jc w:val="both"/>
        <w:spacing w:after="120" w:line="276" w:lineRule="auto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lang w:eastAsia="ru-RU"/>
        </w:rPr>
        <w:t xml:space="preserve">Расширена территория проведения комплексных кадастровых работ в регионе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</w:p>
    <w:p>
      <w:pPr>
        <w:contextualSpacing/>
        <w:jc w:val="both"/>
        <w:spacing w:line="276" w:lineRule="auto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2025 году комплексные кадастровые работы за счет средств федерального бю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джета  проводятся в Иркутской области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территориях  Иркутского, Шелеховского, Киренского, Нижнеудинского, Слюдянского, Заларинского, Зиминского, Нижнеилимского, Усть-Удинского, Аларского, Эхирит-Булагатского районов, Чунского муниципального округа и городов Свирск, Тулун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В сентябре 2025 года список из 98-ми кадастровых кварталов пополнился еще 14-ю кадастровыми кварталами, расположенными в Тулуне и Свирске: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38:30:010401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38:30:011002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38:30:011003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38:30:010405,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38:30:011004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38:30:010802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38:30:011101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38:33:020172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38:33:020165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38:33:020142,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38:33:020115,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38:33:020138,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38:33:020117,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38:33:020140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В ближайшее время правообладателям земельных участков, входящих в границы этих кадастровых кварталов, через единый портал Госуслуг или по адресу электронной почты поступит извещение о начале выполнения комплексных кадастровых работ.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«В ходе выполнения таких работ кадастровым инженером осуществляется уточнение местоположения границ земельных участков,  устранение возможных кадастровых ошибок, в результате осущест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вляется внесение сведений о земельных участках в Единый государственный реестр недвижимости», – пояснила начальник отдела геодезии, картографии, землеустройства и мониторинга земель Управления Росреестра по Иркутской области Елена Владимировна Малитовская.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Всего комплексные кадастровые работы на территории Иркутской области в 2025 году будут выполнены в границах 112-ти кадастровых кварталов.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Ознакомиться с подробной информацией можно на официальном сайте Росреестра в разделе «Открытая служба» - «Статистика и Аналитика» – Иркутская область - «Комплексные кадастровые работы», или по ссылке: </w:t>
      </w:r>
      <w:r>
        <w:rPr>
          <w:rFonts w:ascii="Liberation Sans" w:hAnsi="Liberation Sans" w:eastAsia="Liberation Sans" w:cs="Liberation Sans"/>
          <w:sz w:val="24"/>
          <w:szCs w:val="24"/>
        </w:rPr>
      </w:r>
      <w:hyperlink r:id="rId10" w:tooltip="https://rosreestr.gov.ru/open-service/statistika-i-analitika/kompleks-kadastr-rabot38/" w:history="1">
        <w:r>
          <w:rPr>
            <w:rStyle w:val="836"/>
            <w:rFonts w:ascii="Liberation Sans" w:hAnsi="Liberation Sans" w:eastAsia="Liberation Sans" w:cs="Liberation Sans"/>
            <w:sz w:val="24"/>
            <w:szCs w:val="24"/>
          </w:rPr>
          <w:t xml:space="preserve">https://rosreestr.gov.ru/open-service/statistika-i-analitika/kompleks-kadastr-rabot38/</w:t>
        </w:r>
        <w:r>
          <w:rPr>
            <w:rStyle w:val="836"/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43"/>
        <w:jc w:val="both"/>
        <w:spacing w:before="0" w:beforeAutospacing="0" w:after="0" w:afterAutospacing="0" w:line="276" w:lineRule="auto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843"/>
        <w:jc w:val="both"/>
        <w:spacing w:before="0" w:beforeAutospacing="0" w:after="0" w:afterAutospacing="0" w:line="276" w:lineRule="auto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843"/>
        <w:jc w:val="both"/>
        <w:spacing w:before="0" w:beforeAutospacing="0" w:after="0" w:afterAutospacing="0" w:line="276" w:lineRule="auto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rPr>
          <w:rFonts w:ascii="Liberation Sans" w:hAnsi="Liberation Sans" w:cs="Liberation Sans"/>
          <w:i/>
          <w:iCs/>
          <w:color w:val="292c2f"/>
          <w:sz w:val="24"/>
          <w:szCs w:val="24"/>
        </w:rPr>
      </w:pPr>
      <w:r>
        <w:rPr>
          <w:rFonts w:ascii="Liberation Sans" w:hAnsi="Liberation Sans" w:eastAsia="Liberation Sans" w:cs="Liberation Sans"/>
          <w:i/>
          <w:iCs/>
          <w:color w:val="292c2f"/>
          <w:sz w:val="24"/>
          <w:szCs w:val="24"/>
          <w:lang w:eastAsia="ru-RU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cs="Liberation Sans"/>
          <w:i/>
          <w:iCs/>
          <w:color w:val="292c2f"/>
          <w:sz w:val="24"/>
          <w:szCs w:val="24"/>
        </w:rPr>
      </w:r>
      <w:r>
        <w:rPr>
          <w:rFonts w:ascii="Liberation Sans" w:hAnsi="Liberation Sans" w:cs="Liberation Sans"/>
          <w:i/>
          <w:iCs/>
          <w:color w:val="292c2f"/>
          <w:sz w:val="24"/>
          <w:szCs w:val="24"/>
        </w:rPr>
      </w:r>
    </w:p>
    <w:p>
      <w:pPr>
        <w:spacing w:after="0" w:line="240" w:lineRule="auto"/>
        <w:rPr>
          <w:rFonts w:ascii="Liberation Sans" w:hAnsi="Liberation Sans" w:cs="Liberation Sans"/>
          <w:i/>
          <w:iCs/>
          <w:color w:val="292c2f"/>
          <w:sz w:val="24"/>
          <w:szCs w:val="24"/>
        </w:rPr>
      </w:pPr>
      <w:r>
        <w:rPr>
          <w:rFonts w:ascii="Liberation Sans" w:hAnsi="Liberation Sans" w:eastAsia="Liberation Sans" w:cs="Liberation Sans"/>
          <w:i/>
          <w:iCs/>
          <w:color w:val="292c2f"/>
          <w:sz w:val="24"/>
          <w:szCs w:val="24"/>
          <w:lang w:eastAsia="ru-RU"/>
        </w:rPr>
      </w:r>
      <w:r>
        <w:rPr>
          <w:rFonts w:ascii="Liberation Sans" w:hAnsi="Liberation Sans" w:cs="Liberation Sans"/>
          <w:i/>
          <w:iCs/>
          <w:color w:val="292c2f"/>
          <w:sz w:val="24"/>
          <w:szCs w:val="24"/>
        </w:rPr>
      </w:r>
      <w:r>
        <w:rPr>
          <w:rFonts w:ascii="Liberation Sans" w:hAnsi="Liberation Sans" w:cs="Liberation Sans"/>
          <w:i/>
          <w:iCs/>
          <w:color w:val="292c2f"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850" w:bottom="255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ourier New">
    <w:panose1 w:val="020704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2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3"/>
    <w:link w:val="684"/>
    <w:uiPriority w:val="99"/>
  </w:style>
  <w:style w:type="paragraph" w:styleId="686">
    <w:name w:val="Footer"/>
    <w:basedOn w:val="832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3"/>
    <w:link w:val="686"/>
    <w:uiPriority w:val="99"/>
  </w:style>
  <w:style w:type="paragraph" w:styleId="688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uiPriority w:val="99"/>
    <w:semiHidden/>
    <w:unhideWhenUsed/>
    <w:rPr>
      <w:color w:val="0000ff"/>
      <w:u w:val="single"/>
    </w:rPr>
  </w:style>
  <w:style w:type="paragraph" w:styleId="837">
    <w:name w:val="Balloon Text"/>
    <w:basedOn w:val="832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3"/>
    <w:link w:val="837"/>
    <w:uiPriority w:val="99"/>
    <w:semiHidden/>
    <w:rPr>
      <w:rFonts w:ascii="Segoe UI" w:hAnsi="Segoe UI" w:cs="Segoe UI"/>
      <w:sz w:val="18"/>
      <w:szCs w:val="18"/>
    </w:rPr>
  </w:style>
  <w:style w:type="table" w:styleId="839">
    <w:name w:val="Table Grid"/>
    <w:basedOn w:val="83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0" w:customStyle="1">
    <w:name w:val="Основной текст (4)_"/>
    <w:link w:val="841"/>
    <w:uiPriority w:val="99"/>
    <w:rPr>
      <w:rFonts w:ascii="Times New Roman" w:hAnsi="Times New Roman" w:cs="Times New Roman"/>
      <w:b/>
      <w:bCs/>
      <w:shd w:val="clear" w:color="auto" w:fill="ffffff"/>
    </w:rPr>
  </w:style>
  <w:style w:type="paragraph" w:styleId="841" w:customStyle="1">
    <w:name w:val="Основной текст (4)"/>
    <w:basedOn w:val="832"/>
    <w:link w:val="840"/>
    <w:uiPriority w:val="99"/>
    <w:pPr>
      <w:ind w:firstLine="520"/>
      <w:jc w:val="both"/>
      <w:spacing w:before="120" w:after="240" w:line="240" w:lineRule="atLeast"/>
      <w:shd w:val="clear" w:color="auto" w:fill="ffffff"/>
      <w:widowControl w:val="off"/>
    </w:pPr>
    <w:rPr>
      <w:rFonts w:ascii="Times New Roman" w:hAnsi="Times New Roman" w:cs="Times New Roman"/>
      <w:b/>
      <w:bCs/>
    </w:rPr>
  </w:style>
  <w:style w:type="character" w:styleId="842" w:customStyle="1">
    <w:name w:val="link"/>
    <w:basedOn w:val="833"/>
  </w:style>
  <w:style w:type="paragraph" w:styleId="84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rosreestr.gov.ru/open-service/statistika-i-analitika/kompleks-kadastr-rabot38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/>
  <dc:description/>
  <cp:revision>13</cp:revision>
  <dcterms:created xsi:type="dcterms:W3CDTF">2024-08-29T08:09:00Z</dcterms:created>
  <dcterms:modified xsi:type="dcterms:W3CDTF">2025-09-25T00:41:20Z</dcterms:modified>
</cp:coreProperties>
</file>