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9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56"/>
        <w:gridCol w:w="5409"/>
      </w:tblGrid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11591" cy="1190625"/>
                      <wp:effectExtent l="0" t="0" r="8255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91070" cy="1224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21.39pt;height:93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pPr>
      <w:r>
        <w:rPr>
          <w:rFonts w:ascii="PT Astra Sans" w:hAnsi="PT Astra Sans" w:eastAsia="PT Astra Sans" w:cs="PT Astra Sans"/>
          <w:color w:val="202122"/>
          <w:sz w:val="26"/>
          <w:szCs w:val="26"/>
          <w:shd w:val="clear" w:color="auto" w:fill="ffffff"/>
        </w:rPr>
        <w:t xml:space="preserve">10 декабря 2024 года</w:t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</w:p>
    <w:p>
      <w:pPr>
        <w:rPr>
          <w:rFonts w:ascii="PT Astra Sans" w:hAnsi="PT Astra Sans" w:cs="PT Astra Sans"/>
          <w:b/>
          <w:bCs/>
          <w:sz w:val="26"/>
          <w:szCs w:val="26"/>
        </w:rPr>
      </w:pPr>
      <w:r>
        <w:rPr>
          <w:rFonts w:ascii="PT Astra Sans" w:hAnsi="PT Astra Sans" w:eastAsia="PT Astra Sans" w:cs="PT Astra Sans"/>
          <w:b/>
          <w:sz w:val="26"/>
          <w:szCs w:val="26"/>
        </w:rPr>
      </w:r>
      <w:r>
        <w:rPr>
          <w:rFonts w:ascii="PT Astra Sans" w:hAnsi="PT Astra Sans" w:cs="PT Astra Sans"/>
          <w:b/>
          <w:bCs/>
          <w:sz w:val="26"/>
          <w:szCs w:val="26"/>
        </w:rPr>
      </w:r>
      <w:r>
        <w:rPr>
          <w:rFonts w:ascii="PT Astra Sans" w:hAnsi="PT Astra Sans" w:cs="PT Astra Sans"/>
          <w:b/>
          <w:bCs/>
          <w:sz w:val="26"/>
          <w:szCs w:val="26"/>
        </w:rPr>
      </w:r>
    </w:p>
    <w:p>
      <w:pPr>
        <w:rPr>
          <w:rFonts w:ascii="PT Astra Sans" w:hAnsi="PT Astra Sans" w:cs="PT Astra Sans"/>
          <w:b/>
          <w:bCs/>
          <w:sz w:val="26"/>
          <w:szCs w:val="26"/>
        </w:rPr>
      </w:pPr>
      <w:r>
        <w:rPr>
          <w:rFonts w:ascii="PT Astra Sans" w:hAnsi="PT Astra Sans" w:eastAsia="PT Astra Sans" w:cs="PT Astra Sans"/>
          <w:b/>
          <w:sz w:val="26"/>
          <w:szCs w:val="26"/>
        </w:rPr>
        <w:t xml:space="preserve">Преимущества электронной регистрации обсудили на рабочей встрече представители Росреестра Иркутской области и застройщика</w:t>
      </w:r>
      <w:r>
        <w:rPr>
          <w:rFonts w:ascii="PT Astra Sans" w:hAnsi="PT Astra Sans" w:cs="PT Astra Sans"/>
          <w:b/>
          <w:bCs/>
          <w:sz w:val="26"/>
          <w:szCs w:val="26"/>
        </w:rPr>
      </w:r>
      <w:r>
        <w:rPr>
          <w:rFonts w:ascii="PT Astra Sans" w:hAnsi="PT Astra Sans" w:cs="PT Astra Sans"/>
          <w:b/>
          <w:bCs/>
          <w:sz w:val="26"/>
          <w:szCs w:val="26"/>
        </w:rPr>
      </w:r>
    </w:p>
    <w:p>
      <w:pPr>
        <w:rPr>
          <w:rFonts w:ascii="PT Astra Sans" w:hAnsi="PT Astra Sans" w:cs="PT Astra Sans"/>
          <w:sz w:val="26"/>
          <w:szCs w:val="26"/>
        </w:rPr>
      </w:pPr>
      <w:r>
        <w:rPr>
          <w:rFonts w:ascii="PT Astra Sans" w:hAnsi="PT Astra Sans" w:eastAsia="PT Astra Sans" w:cs="PT Astra Sans"/>
          <w:sz w:val="26"/>
          <w:szCs w:val="26"/>
        </w:rPr>
      </w:r>
      <w:r>
        <w:rPr>
          <w:rFonts w:ascii="PT Astra Sans" w:hAnsi="PT Astra Sans" w:cs="PT Astra Sans"/>
          <w:sz w:val="26"/>
          <w:szCs w:val="26"/>
        </w:rPr>
      </w:r>
      <w:r>
        <w:rPr>
          <w:rFonts w:ascii="PT Astra Sans" w:hAnsi="PT Astra Sans" w:cs="PT Astra Sans"/>
          <w:sz w:val="26"/>
          <w:szCs w:val="26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eastAsia="PT Astra Sans" w:cs="PT Astra Sans"/>
          <w:color w:val="292c2f"/>
          <w:sz w:val="26"/>
          <w:szCs w:val="26"/>
          <w:highlight w:val="none"/>
        </w:rPr>
      </w:pPr>
      <w:r>
        <w:rPr>
          <w:rFonts w:ascii="PT Astra Sans" w:hAnsi="PT Astra Sans" w:eastAsia="PT Astra Sans" w:cs="PT Astra Sans"/>
          <w:color w:val="292c2f"/>
          <w:sz w:val="26"/>
          <w:szCs w:val="26"/>
        </w:rPr>
        <w:t xml:space="preserve">Рабочая встреча представителей Управления Росреестра по Иркутской области и нового специализированного застройщика АО СЗ «Донстрой», недавно начавшего в Иркутске строительство ЖК «Аквамари</w:t>
      </w:r>
      <w:r>
        <w:rPr>
          <w:rFonts w:ascii="PT Astra Sans" w:hAnsi="PT Astra Sans" w:eastAsia="PT Astra Sans" w:cs="PT Astra Sans"/>
          <w:color w:val="292c2f"/>
          <w:sz w:val="26"/>
          <w:szCs w:val="26"/>
        </w:rPr>
        <w:t xml:space="preserve">н», состоялась 5 декабря 2024 года. </w:t>
      </w:r>
      <w:r>
        <w:rPr>
          <w:rFonts w:ascii="PT Astra Sans" w:hAnsi="PT Astra Sans" w:eastAsia="PT Astra Sans" w:cs="PT Astra Sans"/>
          <w:color w:val="292c2f"/>
          <w:sz w:val="26"/>
          <w:szCs w:val="26"/>
        </w:rPr>
        <w:t xml:space="preserve"> Специалисты ведомства рассказали о преимуществах электронного способа подачи документов на государственную регистрацию договоров долевого участия, воспользоваться которым можно с помощью личного кабинета на официальном сайте Росреестра.</w:t>
      </w:r>
      <w:r>
        <w:rPr>
          <w:rFonts w:ascii="PT Astra Sans" w:hAnsi="PT Astra Sans" w:eastAsia="PT Astra Sans" w:cs="PT Astra Sans"/>
          <w:color w:val="292c2f"/>
          <w:sz w:val="26"/>
          <w:szCs w:val="26"/>
          <w:highlight w:val="none"/>
        </w:rPr>
      </w:r>
      <w:r>
        <w:rPr>
          <w:rFonts w:ascii="PT Astra Sans" w:hAnsi="PT Astra Sans" w:eastAsia="PT Astra Sans" w:cs="PT Astra Sans"/>
          <w:color w:val="292c2f"/>
          <w:sz w:val="26"/>
          <w:szCs w:val="26"/>
          <w:highlight w:val="none"/>
        </w:rPr>
      </w:r>
      <w:r>
        <w:rPr>
          <w:rFonts w:ascii="PT Astra Sans" w:hAnsi="PT Astra Sans" w:eastAsia="PT Astra Sans" w:cs="PT Astra Sans"/>
          <w:color w:val="292c2f"/>
          <w:sz w:val="26"/>
          <w:szCs w:val="26"/>
          <w:highlight w:val="none"/>
        </w:rPr>
      </w:r>
      <w:r>
        <w:rPr>
          <w:rFonts w:ascii="PT Astra Sans" w:hAnsi="PT Astra Sans" w:eastAsia="PT Astra Sans" w:cs="PT Astra Sans"/>
          <w:color w:val="292c2f"/>
          <w:sz w:val="26"/>
          <w:szCs w:val="26"/>
          <w:highlight w:val="none"/>
        </w:rPr>
      </w:r>
      <w:r>
        <w:rPr>
          <w:rFonts w:ascii="PT Astra Sans" w:hAnsi="PT Astra Sans" w:cs="PT Astra Sans"/>
          <w:color w:val="292c2f"/>
          <w:sz w:val="26"/>
          <w:szCs w:val="26"/>
        </w:rPr>
      </w:r>
      <w:r>
        <w:rPr>
          <w:rFonts w:ascii="PT Astra Sans" w:hAnsi="PT Astra Sans" w:eastAsia="PT Astra Sans" w:cs="PT Astra Sans"/>
          <w:color w:val="292c2f"/>
          <w:sz w:val="26"/>
          <w:szCs w:val="26"/>
          <w:highlight w:val="none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eastAsia="PT Astra Sans" w:cs="PT Astra Sans"/>
          <w:sz w:val="26"/>
          <w:szCs w:val="26"/>
          <w:highlight w:val="none"/>
        </w:rPr>
      </w:pPr>
      <w:r>
        <w:rPr>
          <w:rFonts w:ascii="PT Astra Sans" w:hAnsi="PT Astra Sans" w:eastAsia="PT Astra Sans" w:cs="PT Astra Sans"/>
          <w:sz w:val="26"/>
          <w:szCs w:val="26"/>
        </w:rPr>
        <w:t xml:space="preserve">Напомним, что застройщик вправе самостоятельно подать в Росреестр заявление о регистрации права собственности  участника долевого строительства на квартиру. Многие застройщики в регионе у</w:t>
      </w:r>
      <w:r>
        <w:rPr>
          <w:rFonts w:ascii="PT Astra Sans" w:hAnsi="PT Astra Sans" w:eastAsia="PT Astra Sans" w:cs="PT Astra Sans"/>
          <w:sz w:val="26"/>
          <w:szCs w:val="26"/>
        </w:rPr>
        <w:t xml:space="preserve">же активно пользуются этой возможностью, ведь это удобно и не требует больших трудозатрат – все документы подаются дистанционно, из офиса, а в результате обладателям новых квартир вручаются не только ключи, но и документы о регистрации права собственности.</w:t>
      </w:r>
      <w:r>
        <w:rPr>
          <w:rFonts w:ascii="PT Astra Sans" w:hAnsi="PT Astra Sans" w:eastAsia="PT Astra Sans" w:cs="PT Astra Sans"/>
          <w:sz w:val="26"/>
          <w:szCs w:val="26"/>
          <w:highlight w:val="none"/>
        </w:rPr>
      </w:r>
      <w:r>
        <w:rPr>
          <w:rFonts w:ascii="PT Astra Sans" w:hAnsi="PT Astra Sans" w:eastAsia="PT Astra Sans" w:cs="PT Astra Sans"/>
          <w:sz w:val="26"/>
          <w:szCs w:val="26"/>
          <w:highlight w:val="none"/>
        </w:rPr>
      </w:r>
      <w:r>
        <w:rPr>
          <w:rFonts w:ascii="PT Astra Sans" w:hAnsi="PT Astra Sans" w:eastAsia="PT Astra Sans" w:cs="PT Astra Sans"/>
          <w:sz w:val="26"/>
          <w:szCs w:val="26"/>
          <w:highlight w:val="none"/>
        </w:rPr>
      </w:r>
      <w:r>
        <w:rPr>
          <w:rFonts w:ascii="PT Astra Sans" w:hAnsi="PT Astra Sans" w:eastAsia="PT Astra Sans" w:cs="PT Astra Sans"/>
          <w:sz w:val="26"/>
          <w:szCs w:val="26"/>
          <w:highlight w:val="none"/>
        </w:rPr>
      </w:r>
      <w:r>
        <w:rPr>
          <w:rFonts w:ascii="PT Astra Sans" w:hAnsi="PT Astra Sans" w:cs="PT Astra Sans"/>
          <w:sz w:val="26"/>
          <w:szCs w:val="26"/>
        </w:rPr>
      </w:r>
      <w:r>
        <w:rPr>
          <w:rFonts w:ascii="PT Astra Sans" w:hAnsi="PT Astra Sans" w:eastAsia="PT Astra Sans" w:cs="PT Astra Sans"/>
          <w:sz w:val="26"/>
          <w:szCs w:val="26"/>
          <w:highlight w:val="none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eastAsia="PT Astra Sans" w:cs="PT Astra Sans"/>
          <w:sz w:val="26"/>
          <w:szCs w:val="26"/>
          <w:highlight w:val="none"/>
        </w:rPr>
      </w:pPr>
      <w:r>
        <w:rPr>
          <w:rFonts w:ascii="PT Astra Sans" w:hAnsi="PT Astra Sans" w:eastAsia="PT Astra Sans" w:cs="PT Astra Sans"/>
          <w:sz w:val="26"/>
          <w:szCs w:val="26"/>
        </w:rPr>
        <w:t xml:space="preserve">По словам заместителя руководителя Управления </w:t>
      </w:r>
      <w:r>
        <w:rPr>
          <w:rFonts w:ascii="PT Astra Sans" w:hAnsi="PT Astra Sans" w:eastAsia="PT Astra Sans" w:cs="PT Astra Sans"/>
          <w:sz w:val="26"/>
          <w:szCs w:val="26"/>
        </w:rPr>
        <w:t xml:space="preserve">Росреестра</w:t>
      </w:r>
      <w:r>
        <w:rPr>
          <w:rFonts w:ascii="PT Astra Sans" w:hAnsi="PT Astra Sans" w:eastAsia="PT Astra Sans" w:cs="PT Astra Sans"/>
          <w:sz w:val="26"/>
          <w:szCs w:val="26"/>
        </w:rPr>
        <w:t xml:space="preserve"> по Иркутской област</w:t>
      </w:r>
      <w:r>
        <w:rPr>
          <w:rFonts w:ascii="PT Astra Sans" w:hAnsi="PT Astra Sans" w:eastAsia="PT Astra Sans" w:cs="PT Astra Sans"/>
          <w:sz w:val="26"/>
          <w:szCs w:val="26"/>
        </w:rPr>
        <w:t xml:space="preserve">и Оксаны Викторовны Арсентьевой, внедрение электронных форм работы полностью отвечает интересам клиентов – участников долевого строительства и делает пакет услуг застройщика более привлекательным для потребителей. </w:t>
      </w:r>
      <w:r>
        <w:rPr>
          <w:rFonts w:ascii="PT Astra Sans" w:hAnsi="PT Astra Sans" w:eastAsia="PT Astra Sans" w:cs="PT Astra Sans"/>
          <w:sz w:val="26"/>
          <w:szCs w:val="26"/>
          <w:highlight w:val="none"/>
        </w:rPr>
      </w:r>
      <w:r>
        <w:rPr>
          <w:rFonts w:ascii="PT Astra Sans" w:hAnsi="PT Astra Sans" w:eastAsia="PT Astra Sans" w:cs="PT Astra Sans"/>
          <w:sz w:val="26"/>
          <w:szCs w:val="26"/>
          <w:highlight w:val="none"/>
        </w:rPr>
      </w:r>
      <w:r>
        <w:rPr>
          <w:rFonts w:ascii="PT Astra Sans" w:hAnsi="PT Astra Sans" w:eastAsia="PT Astra Sans" w:cs="PT Astra Sans"/>
          <w:sz w:val="26"/>
          <w:szCs w:val="26"/>
          <w:highlight w:val="none"/>
        </w:rPr>
      </w:r>
      <w:r>
        <w:rPr>
          <w:rFonts w:ascii="PT Astra Sans" w:hAnsi="PT Astra Sans" w:eastAsia="PT Astra Sans" w:cs="PT Astra Sans"/>
          <w:sz w:val="26"/>
          <w:szCs w:val="26"/>
          <w:highlight w:val="none"/>
        </w:rPr>
      </w:r>
      <w:r>
        <w:rPr>
          <w:rFonts w:ascii="PT Astra Sans" w:hAnsi="PT Astra Sans" w:cs="PT Astra Sans"/>
        </w:rPr>
      </w:r>
      <w:r>
        <w:rPr>
          <w:rFonts w:ascii="PT Astra Sans" w:hAnsi="PT Astra Sans" w:eastAsia="PT Astra Sans" w:cs="PT Astra Sans"/>
          <w:sz w:val="26"/>
          <w:szCs w:val="26"/>
          <w:highlight w:val="none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cs="PT Astra Sans"/>
          <w:highlight w:val="none"/>
        </w:rPr>
      </w:pPr>
      <w:r>
        <w:rPr>
          <w:rFonts w:ascii="PT Astra Sans" w:hAnsi="PT Astra Sans" w:eastAsia="PT Astra Sans" w:cs="PT Astra Sans"/>
          <w:sz w:val="26"/>
          <w:szCs w:val="26"/>
        </w:rPr>
        <w:t xml:space="preserve">Управление </w:t>
      </w:r>
      <w:r>
        <w:rPr>
          <w:rFonts w:ascii="PT Astra Sans" w:hAnsi="PT Astra Sans" w:eastAsia="PT Astra Sans" w:cs="PT Astra Sans"/>
          <w:sz w:val="26"/>
          <w:szCs w:val="26"/>
        </w:rPr>
        <w:t xml:space="preserve">Росреестра</w:t>
      </w:r>
      <w:r>
        <w:rPr>
          <w:rFonts w:ascii="PT Astra Sans" w:hAnsi="PT Astra Sans" w:eastAsia="PT Astra Sans" w:cs="PT Astra Sans"/>
          <w:sz w:val="26"/>
          <w:szCs w:val="26"/>
        </w:rPr>
        <w:t xml:space="preserve"> по Иркутской области для заявлений застройщиков о регистрации прав участников долевого строительства, как и для всех электронных заявлений, установило короткий срок регистрации прав – всего 1 день.</w:t>
      </w:r>
      <w:r>
        <w:rPr>
          <w:rFonts w:ascii="PT Astra Sans" w:hAnsi="PT Astra Sans" w:cs="PT Astra Sans"/>
          <w:highlight w:val="none"/>
        </w:rPr>
      </w:r>
      <w:r>
        <w:rPr>
          <w:rFonts w:ascii="PT Astra Sans" w:hAnsi="PT Astra Sans" w:cs="PT Astra Sans"/>
          <w:highlight w:val="none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cs="PT Astra Sans"/>
          <w:sz w:val="26"/>
          <w:szCs w:val="26"/>
        </w:rPr>
      </w:pPr>
      <w:r>
        <w:rPr>
          <w:rFonts w:ascii="PT Astra Sans" w:hAnsi="PT Astra Sans" w:eastAsia="PT Astra Sans" w:cs="PT Astra Sans"/>
          <w:sz w:val="26"/>
          <w:szCs w:val="26"/>
        </w:rPr>
      </w:r>
      <w:r>
        <w:rPr>
          <w:rFonts w:ascii="PT Astra Sans" w:hAnsi="PT Astra Sans" w:cs="PT Astra Sans"/>
          <w:sz w:val="26"/>
          <w:szCs w:val="26"/>
        </w:rPr>
      </w:r>
      <w:r>
        <w:rPr>
          <w:rFonts w:ascii="PT Astra Sans" w:hAnsi="PT Astra Sans" w:cs="PT Astra Sans"/>
          <w:sz w:val="26"/>
          <w:szCs w:val="26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cs="PT Astra Sans"/>
          <w:bCs/>
          <w:i/>
          <w:sz w:val="26"/>
          <w:szCs w:val="26"/>
        </w:rPr>
      </w:pPr>
      <w:r>
        <w:rPr>
          <w:rFonts w:ascii="PT Astra Sans" w:hAnsi="PT Astra Sans" w:eastAsia="PT Astra Sans" w:cs="PT Astra Sans"/>
          <w:i/>
          <w:iCs/>
          <w:sz w:val="26"/>
          <w:szCs w:val="26"/>
          <w:highlight w:val="none"/>
        </w:rPr>
        <w:t xml:space="preserve">Пресс-служба Управления Росреестра по Иркутской области</w:t>
      </w:r>
      <w:r>
        <w:rPr>
          <w:rFonts w:ascii="PT Astra Sans" w:hAnsi="PT Astra Sans" w:cs="PT Astra Sans"/>
          <w:bCs/>
          <w:i/>
          <w:sz w:val="26"/>
          <w:szCs w:val="26"/>
        </w:rPr>
      </w:r>
      <w:r>
        <w:rPr>
          <w:rFonts w:ascii="PT Astra Sans" w:hAnsi="PT Astra Sans" w:cs="PT Astra Sans"/>
          <w:bCs/>
          <w:i/>
          <w:sz w:val="26"/>
          <w:szCs w:val="26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</w:r>
      <w:r>
        <w:rPr>
          <w:rFonts w:ascii="Arial" w:hAnsi="Arial" w:cs="Arial"/>
          <w:i/>
          <w:iCs/>
        </w:rPr>
      </w:r>
      <w:r>
        <w:rPr>
          <w:rFonts w:ascii="Arial" w:hAnsi="Arial" w:cs="Arial"/>
          <w:i/>
          <w:iCs/>
        </w:rPr>
      </w:r>
    </w:p>
    <w:sectPr>
      <w:footnotePr/>
      <w:endnotePr/>
      <w:type w:val="nextPage"/>
      <w:pgSz w:w="11906" w:h="16838" w:orient="portrait"/>
      <w:pgMar w:top="851" w:right="849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ans">
    <w:panose1 w:val="020B0603020203020204"/>
  </w:font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2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2"/>
    <w:link w:val="683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2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>
    <w:name w:val="Hyperlink"/>
    <w:basedOn w:val="832"/>
    <w:uiPriority w:val="99"/>
    <w:unhideWhenUsed/>
    <w:rPr>
      <w:color w:val="0563c1" w:themeColor="hyperlink"/>
      <w:u w:val="single"/>
    </w:rPr>
  </w:style>
  <w:style w:type="paragraph" w:styleId="838">
    <w:name w:val="List Paragraph"/>
    <w:basedOn w:val="831"/>
    <w:uiPriority w:val="34"/>
    <w:qFormat/>
    <w:pPr>
      <w:contextualSpacing/>
      <w:ind w:left="720"/>
    </w:pPr>
  </w:style>
  <w:style w:type="table" w:styleId="839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0" w:customStyle="1">
    <w:name w:val="object"/>
    <w:basedOn w:val="832"/>
  </w:style>
  <w:style w:type="paragraph" w:styleId="841">
    <w:name w:val="Normal (Web)"/>
    <w:basedOn w:val="83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2">
    <w:name w:val="Strong"/>
    <w:basedOn w:val="832"/>
    <w:uiPriority w:val="22"/>
    <w:qFormat/>
    <w:rPr>
      <w:b/>
      <w:bCs/>
    </w:rPr>
  </w:style>
  <w:style w:type="character" w:styleId="843">
    <w:name w:val="Emphasis"/>
    <w:basedOn w:val="832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0731-50C2-48B4-ABE6-4C8323D0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13</cp:revision>
  <dcterms:created xsi:type="dcterms:W3CDTF">2024-02-13T03:39:00Z</dcterms:created>
  <dcterms:modified xsi:type="dcterms:W3CDTF">2024-12-10T06:22:29Z</dcterms:modified>
</cp:coreProperties>
</file>