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Style w:val="837"/>
        <w:tblW w:w="104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476"/>
        <w:gridCol w:w="5187"/>
        <w:gridCol w:w="3827"/>
      </w:tblGrid>
      <w:tr>
        <w:tblPrEx/>
        <w:trPr>
          <w:trHeight w:val="426"/>
        </w:trPr>
        <w:tc>
          <w:tcPr>
            <w:tcW w:w="1476" w:type="dxa"/>
            <w:textDirection w:val="lrTb"/>
            <w:noWrap w:val="false"/>
          </w:tcPr>
          <w:p>
            <w:pPr>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tc>
        <w:tc>
          <w:tcPr>
            <w:tcW w:w="5187" w:type="dxa"/>
            <w:textDirection w:val="lrTb"/>
            <w:noWrap w:val="false"/>
          </w:tcPr>
          <w:p>
            <w:pPr>
              <w:jc w:val="right"/>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tc>
        <w:tc>
          <w:tcPr>
            <w:tcW w:w="3827" w:type="dxa"/>
            <w:textDirection w:val="lrTb"/>
            <w:noWrap w:val="false"/>
          </w:tcPr>
          <w:p>
            <w:pPr>
              <w:jc w:val="right"/>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tc>
      </w:tr>
      <w:tr>
        <w:tblPrEx/>
        <w:trPr>
          <w:trHeight w:val="426"/>
        </w:trPr>
        <w:tc>
          <w:tcPr>
            <w:tcW w:w="1476" w:type="dxa"/>
            <w:textDirection w:val="lrTb"/>
            <w:noWrap w:val="false"/>
          </w:tcPr>
          <w:p>
            <w:pPr>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rPr>
                <w:rFonts w:ascii="Times New Roman" w:hAnsi="Times New Roman" w:cs="Times New Roman"/>
                <w:b/>
                <w:sz w:val="28"/>
                <w:szCs w:val="28"/>
              </w:rPr>
            </w:pPr>
            <w:r>
              <w:rPr>
                <w:rFonts w:ascii="Times New Roman" w:hAnsi="Times New Roman" w:cs="Times New Roman"/>
                <w:b/>
                <w:sz w:val="28"/>
                <w:szCs w:val="28"/>
                <w:lang w:eastAsia="ru-RU"/>
              </w:rPr>
              <mc:AlternateContent>
                <mc:Choice Requires="wpg">
                  <w:drawing>
                    <wp:inline xmlns:wp="http://schemas.openxmlformats.org/drawingml/2006/wordprocessingDrawing" distT="0" distB="0" distL="0" distR="0">
                      <wp:extent cx="800100" cy="757240"/>
                      <wp:effectExtent l="0" t="0" r="0" b="5080"/>
                      <wp:docPr id="1" name="Рисунок 3" descr="C:\Users\gomanenko_gv\Desktop\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manenko_gv\Desktop\Герб.jpg"/>
                              <pic:cNvPicPr>
                                <a:picLocks noChangeAspect="1"/>
                              </pic:cNvPicPr>
                              <pic:nvPr/>
                            </pic:nvPicPr>
                            <pic:blipFill>
                              <a:blip r:embed="rId9"/>
                              <a:stretch/>
                            </pic:blipFill>
                            <pic:spPr bwMode="auto">
                              <a:xfrm>
                                <a:off x="0" y="0"/>
                                <a:ext cx="915927" cy="866862"/>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63.00pt;height:59.63pt;mso-wrap-distance-left:0.00pt;mso-wrap-distance-top:0.00pt;mso-wrap-distance-right:0.00pt;mso-wrap-distance-bottom:0.00pt;" stroked="f">
                      <v:path textboxrect="0,0,0,0"/>
                      <v:imagedata r:id="rId9" o:title=""/>
                    </v:shape>
                  </w:pict>
                </mc:Fallback>
              </mc:AlternateContent>
            </w:r>
            <w:r>
              <w:rPr>
                <w:rFonts w:ascii="Times New Roman" w:hAnsi="Times New Roman" w:cs="Times New Roman"/>
                <w:b/>
                <w:sz w:val="28"/>
                <w:szCs w:val="28"/>
              </w:rPr>
            </w:r>
            <w:r>
              <w:rPr>
                <w:rFonts w:ascii="Times New Roman" w:hAnsi="Times New Roman" w:cs="Times New Roman"/>
                <w:b/>
                <w:sz w:val="28"/>
                <w:szCs w:val="28"/>
              </w:rPr>
            </w:r>
          </w:p>
        </w:tc>
        <w:tc>
          <w:tcPr>
            <w:tcW w:w="5187" w:type="dxa"/>
            <w:textDirection w:val="lrTb"/>
            <w:noWrap w:val="false"/>
          </w:tcPr>
          <w:p>
            <w:pPr>
              <w:rPr>
                <w:rFonts w:cs="Times New Roman"/>
                <w:b/>
                <w:sz w:val="24"/>
                <w:szCs w:val="24"/>
              </w:rPr>
            </w:pPr>
            <w:r>
              <w:rPr>
                <w:rFonts w:cs="Times New Roman"/>
                <w:b/>
                <w:sz w:val="24"/>
                <w:szCs w:val="24"/>
              </w:rPr>
            </w:r>
            <w:r>
              <w:rPr>
                <w:rFonts w:cs="Times New Roman"/>
                <w:b/>
                <w:sz w:val="24"/>
                <w:szCs w:val="24"/>
              </w:rPr>
            </w:r>
            <w:r>
              <w:rPr>
                <w:rFonts w:cs="Times New Roman"/>
                <w:b/>
                <w:sz w:val="24"/>
                <w:szCs w:val="24"/>
              </w:rPr>
            </w:r>
          </w:p>
          <w:p>
            <w:pPr>
              <w:rPr>
                <w:rFonts w:cs="Times New Roman"/>
                <w:b/>
                <w:sz w:val="24"/>
                <w:szCs w:val="24"/>
              </w:rPr>
            </w:pPr>
            <w:r>
              <w:rPr>
                <w:rFonts w:cs="Times New Roman"/>
                <w:b/>
                <w:sz w:val="24"/>
                <w:szCs w:val="24"/>
              </w:rPr>
            </w:r>
            <w:r>
              <w:rPr>
                <w:rFonts w:cs="Times New Roman"/>
                <w:b/>
                <w:sz w:val="24"/>
                <w:szCs w:val="24"/>
              </w:rPr>
            </w:r>
            <w:r>
              <w:rPr>
                <w:rFonts w:cs="Times New Roman"/>
                <w:b/>
                <w:sz w:val="24"/>
                <w:szCs w:val="24"/>
              </w:rPr>
            </w:r>
          </w:p>
          <w:p>
            <w:pPr>
              <w:rPr>
                <w:rFonts w:cs="Times New Roman"/>
                <w:b/>
                <w:sz w:val="24"/>
                <w:szCs w:val="24"/>
              </w:rPr>
            </w:pPr>
            <w:r>
              <w:rPr>
                <w:rFonts w:cs="Times New Roman"/>
                <w:b/>
                <w:sz w:val="24"/>
                <w:szCs w:val="24"/>
              </w:rPr>
              <w:t xml:space="preserve">УПРАВЛЕНИЕ РОСРЕЕСТРА</w:t>
            </w:r>
            <w:r>
              <w:rPr>
                <w:rFonts w:cs="Times New Roman"/>
                <w:b/>
                <w:sz w:val="24"/>
                <w:szCs w:val="24"/>
              </w:rPr>
            </w:r>
            <w:r>
              <w:rPr>
                <w:rFonts w:cs="Times New Roman"/>
                <w:b/>
                <w:sz w:val="24"/>
                <w:szCs w:val="24"/>
              </w:rPr>
            </w:r>
          </w:p>
          <w:p>
            <w:pPr>
              <w:rPr>
                <w:rFonts w:ascii="Times New Roman" w:hAnsi="Times New Roman" w:cs="Times New Roman"/>
                <w:b/>
                <w:sz w:val="28"/>
                <w:szCs w:val="28"/>
              </w:rPr>
            </w:pPr>
            <w:r>
              <w:rPr>
                <w:rFonts w:cs="Times New Roman"/>
                <w:b/>
                <w:sz w:val="24"/>
                <w:szCs w:val="24"/>
              </w:rPr>
              <w:t xml:space="preserve">ПО ИРКУТСКОЙ ОБЛАСТИ</w:t>
            </w:r>
            <w:r>
              <w:rPr>
                <w:rFonts w:ascii="Times New Roman" w:hAnsi="Times New Roman" w:cs="Times New Roman"/>
                <w:b/>
                <w:sz w:val="28"/>
                <w:szCs w:val="28"/>
              </w:rPr>
            </w:r>
            <w:r>
              <w:rPr>
                <w:rFonts w:ascii="Times New Roman" w:hAnsi="Times New Roman" w:cs="Times New Roman"/>
                <w:b/>
                <w:sz w:val="28"/>
                <w:szCs w:val="28"/>
              </w:rPr>
            </w:r>
          </w:p>
        </w:tc>
        <w:tc>
          <w:tcPr>
            <w:tcW w:w="3827" w:type="dxa"/>
            <w:vMerge w:val="restart"/>
            <w:textDirection w:val="lrTb"/>
            <w:noWrap w:val="false"/>
          </w:tcPr>
          <w:p>
            <w:pPr>
              <w:jc w:val="right"/>
              <w:rPr>
                <w:lang w:eastAsia="ru-RU"/>
              </w:rPr>
            </w:pPr>
            <w:r>
              <w:rPr>
                <w:lang w:eastAsia="ru-RU"/>
              </w:rPr>
            </w:r>
            <w:r>
              <w:rPr>
                <w:lang w:eastAsia="ru-RU"/>
              </w:rPr>
            </w:r>
            <w:r>
              <w:rPr>
                <w:lang w:eastAsia="ru-RU"/>
              </w:rPr>
            </w:r>
          </w:p>
          <w:p>
            <w:pPr>
              <w:jc w:val="right"/>
              <w:rPr>
                <w:lang w:eastAsia="ru-RU"/>
              </w:rPr>
            </w:pPr>
            <w:r>
              <w:rPr>
                <w:lang w:eastAsia="ru-RU"/>
              </w:rPr>
            </w:r>
            <w:r>
              <w:rPr>
                <w:lang w:eastAsia="ru-RU"/>
              </w:rPr>
            </w:r>
            <w:r>
              <w:rPr>
                <w:lang w:eastAsia="ru-RU"/>
              </w:rPr>
            </w:r>
          </w:p>
          <w:p>
            <w:pPr>
              <w:jc w:val="right"/>
              <w:rPr>
                <w:rFonts w:ascii="Times New Roman" w:hAnsi="Times New Roman" w:cs="Times New Roman"/>
                <w:b/>
              </w:rPr>
            </w:pPr>
            <w:r>
              <w:rPr>
                <w:rFonts w:ascii="Times New Roman" w:hAnsi="Times New Roman" w:cs="Times New Roman"/>
                <w:b/>
              </w:rPr>
            </w:r>
            <w:r>
              <w:rPr>
                <w:rFonts w:ascii="Times New Roman" w:hAnsi="Times New Roman" w:cs="Times New Roman"/>
                <w:b/>
              </w:rPr>
            </w:r>
            <w:r>
              <w:rPr>
                <w:rFonts w:ascii="Times New Roman" w:hAnsi="Times New Roman" w:cs="Times New Roman"/>
                <w:b/>
              </w:rPr>
            </w:r>
          </w:p>
          <w:p>
            <w:pPr>
              <w:jc w:val="right"/>
              <w:rPr>
                <w:rFonts w:ascii="Times New Roman" w:hAnsi="Times New Roman" w:cs="Times New Roman"/>
                <w:b/>
              </w:rPr>
            </w:pPr>
            <w:r>
              <w:rPr>
                <w:rFonts w:ascii="Times New Roman" w:hAnsi="Times New Roman" w:cs="Times New Roman"/>
                <w:b/>
              </w:rPr>
            </w:r>
            <w:r>
              <w:rPr>
                <w:rFonts w:ascii="Times New Roman" w:hAnsi="Times New Roman" w:cs="Times New Roman"/>
                <w:b/>
              </w:rPr>
            </w:r>
            <w:r>
              <w:rPr>
                <w:rFonts w:ascii="Times New Roman" w:hAnsi="Times New Roman" w:cs="Times New Roman"/>
                <w:b/>
              </w:rPr>
            </w:r>
          </w:p>
          <w:p>
            <w:pPr>
              <w:jc w:val="right"/>
              <w:rPr>
                <w:rFonts w:cs="Times New Roman"/>
                <w:sz w:val="24"/>
                <w:szCs w:val="24"/>
              </w:rPr>
            </w:pPr>
            <w:r>
              <w:rPr>
                <w:rFonts w:cs="Times New Roman"/>
                <w:sz w:val="24"/>
                <w:szCs w:val="24"/>
              </w:rPr>
            </w:r>
            <w:r>
              <w:rPr>
                <w:rFonts w:cs="Times New Roman"/>
                <w:sz w:val="24"/>
                <w:szCs w:val="24"/>
              </w:rPr>
            </w:r>
            <w:r>
              <w:rPr>
                <w:rFonts w:cs="Times New Roman"/>
                <w:sz w:val="24"/>
                <w:szCs w:val="24"/>
              </w:rPr>
            </w:r>
          </w:p>
          <w:p>
            <w:pPr>
              <w:jc w:val="right"/>
              <w:rPr>
                <w:rFonts w:cs="Times New Roman"/>
                <w:sz w:val="24"/>
                <w:szCs w:val="24"/>
              </w:rPr>
            </w:pPr>
            <w:r>
              <w:rPr>
                <w:rFonts w:cs="Times New Roman"/>
                <w:sz w:val="24"/>
                <w:szCs w:val="24"/>
              </w:rPr>
            </w:r>
            <w:r>
              <w:rPr>
                <w:rFonts w:cs="Times New Roman"/>
                <w:sz w:val="24"/>
                <w:szCs w:val="24"/>
              </w:rPr>
            </w:r>
            <w:r>
              <w:rPr>
                <w:rFonts w:cs="Times New Roman"/>
                <w:sz w:val="24"/>
                <w:szCs w:val="24"/>
              </w:rPr>
            </w:r>
          </w:p>
          <w:p>
            <w:pPr>
              <w:jc w:val="center"/>
              <w:rPr>
                <w:rFonts w:cs="Times New Roman"/>
                <w:sz w:val="24"/>
                <w:szCs w:val="24"/>
              </w:rPr>
            </w:pPr>
            <w:r>
              <w:rPr>
                <w:rFonts w:cs="Times New Roman"/>
                <w:sz w:val="24"/>
                <w:szCs w:val="24"/>
              </w:rPr>
              <w:t xml:space="preserve">                28 июля 2026</w:t>
            </w:r>
            <w:r>
              <w:rPr>
                <w:rFonts w:cs="Times New Roman"/>
                <w:sz w:val="24"/>
                <w:szCs w:val="24"/>
              </w:rPr>
              <w:t xml:space="preserve"> года</w:t>
            </w:r>
            <w:r>
              <w:rPr>
                <w:rFonts w:cs="Times New Roman"/>
                <w:sz w:val="24"/>
                <w:szCs w:val="24"/>
              </w:rPr>
            </w:r>
            <w:r>
              <w:rPr>
                <w:rFonts w:cs="Times New Roman"/>
                <w:sz w:val="24"/>
                <w:szCs w:val="24"/>
              </w:rPr>
            </w:r>
          </w:p>
        </w:tc>
      </w:tr>
      <w:tr>
        <w:tblPrEx/>
        <w:trPr>
          <w:trHeight w:val="553"/>
        </w:trPr>
        <w:tc>
          <w:tcPr>
            <w:tcW w:w="1476" w:type="dxa"/>
            <w:textDirection w:val="lrTb"/>
            <w:noWrap w:val="false"/>
          </w:tcPr>
          <w:p>
            <w:pPr>
              <w:ind w:firstLine="3014"/>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tc>
        <w:tc>
          <w:tcPr>
            <w:tcW w:w="5187" w:type="dxa"/>
            <w:textDirection w:val="lrTb"/>
            <w:noWrap w:val="false"/>
          </w:tcPr>
          <w:p>
            <w:pPr>
              <w:jc w:val="right"/>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r>
            <w:r>
              <w:rPr>
                <w:rFonts w:ascii="Times New Roman" w:hAnsi="Times New Roman" w:cs="Times New Roman"/>
                <w:b/>
                <w:sz w:val="24"/>
                <w:szCs w:val="24"/>
              </w:rPr>
            </w:r>
          </w:p>
        </w:tc>
        <w:tc>
          <w:tcPr>
            <w:tcW w:w="3827" w:type="dxa"/>
            <w:vMerge w:val="continue"/>
            <w:textDirection w:val="lrTb"/>
            <w:noWrap w:val="false"/>
          </w:tcPr>
          <w:p>
            <w:pPr>
              <w:jc w:val="right"/>
              <w:rPr>
                <w:rFonts w:ascii="Times New Roman" w:hAnsi="Times New Roman" w:cs="Times New Roman"/>
                <w:b/>
              </w:rPr>
            </w:pPr>
            <w:r>
              <w:rPr>
                <w:rFonts w:ascii="Times New Roman" w:hAnsi="Times New Roman" w:cs="Times New Roman"/>
                <w:b/>
              </w:rPr>
            </w:r>
            <w:r>
              <w:rPr>
                <w:rFonts w:ascii="Times New Roman" w:hAnsi="Times New Roman" w:cs="Times New Roman"/>
                <w:b/>
              </w:rPr>
            </w:r>
            <w:r>
              <w:rPr>
                <w:rFonts w:ascii="Times New Roman" w:hAnsi="Times New Roman" w:cs="Times New Roman"/>
                <w:b/>
              </w:rPr>
            </w:r>
          </w:p>
        </w:tc>
      </w:tr>
    </w:tbl>
    <w:p>
      <w:pPr>
        <w:contextualSpacing/>
        <w:ind w:firstLine="426"/>
        <w:jc w:val="both"/>
        <w:spacing w:after="0" w:line="240" w:lineRule="auto"/>
        <w:rPr>
          <w:rFonts w:ascii="Arial" w:hAnsi="Arial" w:eastAsia="Times New Roman" w:cs="Arial"/>
          <w:b/>
          <w:lang w:eastAsia="ru-RU"/>
        </w:rPr>
      </w:pPr>
      <w:r>
        <w:rPr>
          <w:rFonts w:ascii="Arial" w:hAnsi="Arial" w:eastAsia="Times New Roman" w:cs="Arial"/>
          <w:b/>
          <w:lang w:eastAsia="ru-RU"/>
        </w:rPr>
      </w:r>
      <w:r>
        <w:rPr>
          <w:rFonts w:ascii="Arial" w:hAnsi="Arial" w:eastAsia="Times New Roman" w:cs="Arial"/>
          <w:b/>
          <w:lang w:eastAsia="ru-RU"/>
        </w:rPr>
      </w:r>
      <w:r>
        <w:rPr>
          <w:rFonts w:ascii="Arial" w:hAnsi="Arial" w:eastAsia="Times New Roman" w:cs="Arial"/>
          <w:b/>
          <w:lang w:eastAsia="ru-RU"/>
        </w:rPr>
      </w:r>
    </w:p>
    <w:p>
      <w:pPr>
        <w:ind w:left="142"/>
        <w:jc w:val="both"/>
        <w:spacing w:after="0" w:line="276" w:lineRule="auto"/>
        <w:rPr>
          <w:rFonts w:ascii="Arial" w:hAnsi="Arial" w:cs="Arial"/>
          <w:b/>
          <w:bCs/>
        </w:rPr>
      </w:pPr>
      <w:r>
        <w:rPr>
          <w:rFonts w:ascii="Arial" w:hAnsi="Arial" w:cs="Arial"/>
          <w:b/>
          <w:bCs/>
          <w:highlight w:val="none"/>
        </w:rPr>
      </w:r>
      <w:r>
        <w:rPr>
          <w:rFonts w:ascii="Arial" w:hAnsi="Arial" w:cs="Arial"/>
          <w:b/>
          <w:bCs/>
        </w:rPr>
      </w:r>
      <w:r>
        <w:rPr>
          <w:rFonts w:ascii="Arial" w:hAnsi="Arial" w:cs="Arial"/>
          <w:b/>
          <w:bCs/>
        </w:rPr>
      </w:r>
    </w:p>
    <w:p>
      <w:pPr>
        <w:rPr>
          <w:rFonts w:ascii="PT Astra Serif" w:hAnsi="PT Astra Serif" w:eastAsia="PT Astra Serif" w:cs="PT Astra Serif"/>
          <w:b/>
          <w:bCs/>
          <w:color w:val="060708"/>
          <w:sz w:val="24"/>
          <w:szCs w:val="24"/>
          <w:highlight w:val="none"/>
        </w:rPr>
      </w:pPr>
      <w:r>
        <w:rPr>
          <w:rFonts w:ascii="PT Astra Serif" w:hAnsi="PT Astra Serif" w:eastAsia="PT Astra Serif" w:cs="PT Astra Serif"/>
          <w:b/>
          <w:bCs/>
          <w:color w:val="060708"/>
          <w:sz w:val="24"/>
          <w:szCs w:val="24"/>
          <w:highlight w:val="none"/>
        </w:rPr>
        <w:t xml:space="preserve">Что нужно знать при продаже участка сельхозназначения</w:t>
      </w:r>
      <w:r>
        <w:rPr>
          <w:rFonts w:ascii="PT Astra Serif" w:hAnsi="PT Astra Serif" w:eastAsia="PT Astra Serif" w:cs="PT Astra Serif"/>
          <w:b/>
          <w:bCs/>
          <w:color w:val="060708"/>
          <w:sz w:val="24"/>
          <w:szCs w:val="24"/>
          <w:highlight w:val="none"/>
        </w:rPr>
      </w:r>
    </w:p>
    <w:p>
      <w:pPr>
        <w:rPr>
          <w:rFonts w:ascii="PT Astra Serif" w:hAnsi="PT Astra Serif" w:eastAsia="PT Astra Serif" w:cs="PT Astra Serif"/>
          <w:b/>
          <w:bCs/>
          <w:color w:val="060708"/>
          <w:sz w:val="24"/>
          <w:szCs w:val="24"/>
          <w:highlight w:val="none"/>
        </w:rPr>
      </w:pPr>
      <w:r>
        <w:rPr>
          <w:rFonts w:ascii="PT Astra Serif" w:hAnsi="PT Astra Serif" w:eastAsia="PT Astra Serif" w:cs="PT Astra Serif"/>
          <w:b/>
          <w:bCs/>
          <w:color w:val="060708"/>
          <w:sz w:val="24"/>
          <w:szCs w:val="24"/>
          <w:highlight w:val="none"/>
        </w:rPr>
      </w:r>
      <w:r>
        <w:rPr>
          <w:rFonts w:ascii="PT Astra Serif" w:hAnsi="PT Astra Serif" w:eastAsia="PT Astra Serif" w:cs="PT Astra Serif"/>
          <w:b/>
          <w:bCs/>
          <w:color w:val="060708"/>
          <w:sz w:val="24"/>
          <w:szCs w:val="24"/>
          <w:highlight w:val="none"/>
        </w:rPr>
      </w:r>
    </w:p>
    <w:p>
      <w:pPr>
        <w:rPr>
          <w:rFonts w:ascii="PT Astra Serif" w:hAnsi="PT Astra Serif" w:eastAsia="PT Astra Serif" w:cs="PT Astra Serif"/>
          <w:color w:val="060708"/>
          <w:sz w:val="24"/>
          <w:szCs w:val="24"/>
          <w:highlight w:val="none"/>
        </w:rPr>
      </w:pPr>
      <w:r>
        <w:rPr>
          <w:rFonts w:ascii="PT Astra Serif" w:hAnsi="PT Astra Serif" w:eastAsia="PT Astra Serif" w:cs="PT Astra Serif"/>
          <w:color w:val="060708"/>
          <w:sz w:val="24"/>
          <w:szCs w:val="24"/>
          <w:highlight w:val="none"/>
        </w:rPr>
        <w:t xml:space="preserve">Продажа земельного участка сельскохозяйственного назначения имеет свои особенности, знание которых необходимо при планировании и совершении таких сделок.</w:t>
      </w:r>
      <w:r>
        <w:rPr>
          <w:rFonts w:ascii="PT Astra Serif" w:hAnsi="PT Astra Serif" w:eastAsia="PT Astra Serif" w:cs="PT Astra Serif"/>
          <w:color w:val="060708"/>
          <w:sz w:val="24"/>
          <w:szCs w:val="24"/>
          <w:highlight w:val="none"/>
        </w:rPr>
      </w:r>
    </w:p>
    <w:p>
      <w:r>
        <w:rPr>
          <w:rFonts w:ascii="PT Astra Serif" w:hAnsi="PT Astra Serif" w:eastAsia="PT Astra Serif" w:cs="PT Astra Serif"/>
          <w:color w:val="060708"/>
          <w:sz w:val="24"/>
          <w:szCs w:val="24"/>
          <w:highlight w:val="none"/>
        </w:rPr>
        <w:t xml:space="preserve">Основной особенностью является установленное законом преимущественное право покупки такого участка субъектом РФ или муниципальным образованием, в границах которого расположен участок.</w:t>
      </w:r>
      <w:r>
        <w:rPr>
          <w:rFonts w:ascii="PT Astra Serif" w:hAnsi="PT Astra Serif" w:eastAsia="PT Astra Serif" w:cs="PT Astra Serif"/>
          <w:color w:val="060708"/>
          <w:sz w:val="24"/>
          <w:szCs w:val="24"/>
          <w:highlight w:val="none"/>
        </w:rPr>
      </w:r>
    </w:p>
    <w:p>
      <w:r>
        <w:rPr>
          <w:rFonts w:ascii="PT Astra Serif" w:hAnsi="PT Astra Serif" w:eastAsia="PT Astra Serif" w:cs="PT Astra Serif"/>
          <w:color w:val="060708"/>
          <w:sz w:val="24"/>
          <w:szCs w:val="24"/>
          <w:highlight w:val="none"/>
        </w:rPr>
        <w:t xml:space="preserve">Это значит, что перед заключением договора купли - продажи продавец обязан письменно сообщить о своём намерении продать участок в Министерство имущественных отношений Иркутской области и в местную администрацию.</w:t>
      </w:r>
      <w:r>
        <w:rPr>
          <w:rFonts w:ascii="PT Astra Serif" w:hAnsi="PT Astra Serif" w:eastAsia="PT Astra Serif" w:cs="PT Astra Serif"/>
          <w:color w:val="060708"/>
          <w:sz w:val="24"/>
          <w:szCs w:val="24"/>
          <w:highlight w:val="none"/>
        </w:rPr>
      </w:r>
    </w:p>
    <w:p>
      <w:r>
        <w:rPr>
          <w:rFonts w:ascii="PT Astra Serif" w:hAnsi="PT Astra Serif" w:eastAsia="PT Astra Serif" w:cs="PT Astra Serif"/>
          <w:color w:val="060708"/>
          <w:sz w:val="24"/>
          <w:szCs w:val="24"/>
          <w:highlight w:val="none"/>
        </w:rPr>
        <w:t xml:space="preserve">В таком уведомлении нужно указать цену участка, его площадь, местоположение и срок, в который должна произойти оплата по сделке. </w:t>
      </w:r>
      <w:r>
        <w:rPr>
          <w:rFonts w:ascii="PT Astra Serif" w:hAnsi="PT Astra Serif" w:eastAsia="PT Astra Serif" w:cs="PT Astra Serif"/>
          <w:color w:val="060708"/>
          <w:sz w:val="24"/>
          <w:szCs w:val="24"/>
          <w:highlight w:val="none"/>
        </w:rPr>
      </w:r>
    </w:p>
    <w:p>
      <w:r>
        <w:rPr>
          <w:rFonts w:ascii="PT Astra Serif" w:hAnsi="PT Astra Serif" w:eastAsia="PT Astra Serif" w:cs="PT Astra Serif"/>
          <w:color w:val="060708"/>
          <w:sz w:val="24"/>
          <w:szCs w:val="24"/>
          <w:highlight w:val="none"/>
        </w:rPr>
        <w:t xml:space="preserve">Если после подачи такого уведомления был получен отказ от покупки участка от Министерства имущественных отношений и от органа местного самоуправления, то  продавец может продать участок любому лицу в течение года по цене не ниже указанной в извещении. </w:t>
      </w:r>
      <w:r>
        <w:rPr>
          <w:rFonts w:ascii="PT Astra Serif" w:hAnsi="PT Astra Serif" w:eastAsia="PT Astra Serif" w:cs="PT Astra Serif"/>
          <w:color w:val="060708"/>
          <w:sz w:val="24"/>
          <w:szCs w:val="24"/>
          <w:highlight w:val="none"/>
        </w:rPr>
      </w:r>
    </w:p>
    <w:p>
      <w:r>
        <w:rPr>
          <w:rFonts w:ascii="PT Astra Serif" w:hAnsi="PT Astra Serif" w:eastAsia="PT Astra Serif" w:cs="PT Astra Serif"/>
          <w:color w:val="060708"/>
          <w:sz w:val="24"/>
          <w:szCs w:val="24"/>
          <w:highlight w:val="none"/>
        </w:rPr>
        <w:t xml:space="preserve">Кроме того, если не было ответа от указанных органов в течение 30 дней - продавец также вправе продать участок любому лицу по цене не ниже указанной в извещении. </w:t>
      </w:r>
      <w:r>
        <w:rPr>
          <w:rFonts w:ascii="PT Astra Serif" w:hAnsi="PT Astra Serif" w:eastAsia="PT Astra Serif" w:cs="PT Astra Serif"/>
          <w:color w:val="060708"/>
          <w:sz w:val="24"/>
          <w:szCs w:val="24"/>
          <w:highlight w:val="none"/>
        </w:rPr>
      </w:r>
    </w:p>
    <w:p>
      <w:r>
        <w:rPr>
          <w:rFonts w:ascii="PT Astra Serif" w:hAnsi="PT Astra Serif" w:eastAsia="PT Astra Serif" w:cs="PT Astra Serif"/>
          <w:color w:val="060708"/>
          <w:sz w:val="24"/>
          <w:szCs w:val="24"/>
          <w:highlight w:val="none"/>
        </w:rPr>
        <w:t xml:space="preserve">Как поясняет заместитель руководителя Управления Росреестра по Иркутской области Лариса Михайловна Варфоломеева, если продавец не выполнил эту процедуру (т.е. не уведомил о продаже сельскохозяйственного участка указанные органы) и сразу продал участок, то т</w:t>
      </w:r>
      <w:r>
        <w:rPr>
          <w:rFonts w:ascii="PT Astra Serif" w:hAnsi="PT Astra Serif" w:eastAsia="PT Astra Serif" w:cs="PT Astra Serif"/>
          <w:color w:val="060708"/>
          <w:sz w:val="24"/>
          <w:szCs w:val="24"/>
          <w:highlight w:val="none"/>
        </w:rPr>
        <w:t xml:space="preserve">акая сделка будет ничтожной, то есть недействительной. Зарегистрировать права по такой сделке в Росреестре не получится, будет вынесен отказ в регистрации права.</w:t>
      </w:r>
      <w:r>
        <w:rPr>
          <w:rFonts w:ascii="PT Astra Serif" w:hAnsi="PT Astra Serif" w:eastAsia="PT Astra Serif" w:cs="PT Astra Serif"/>
          <w:color w:val="060708"/>
          <w:sz w:val="24"/>
          <w:szCs w:val="24"/>
          <w:highlight w:val="none"/>
        </w:rPr>
      </w:r>
    </w:p>
    <w:p>
      <w:r>
        <w:rPr>
          <w:rFonts w:ascii="PT Astra Serif" w:hAnsi="PT Astra Serif" w:eastAsia="PT Astra Serif" w:cs="PT Astra Serif"/>
          <w:color w:val="060708"/>
          <w:sz w:val="24"/>
          <w:szCs w:val="24"/>
          <w:highlight w:val="none"/>
        </w:rPr>
        <w:t xml:space="preserve">Это значит, что подавать документы для регистрации права покупателя можно только после того, как соблюдена процедура преимущественной покупки сельхозучастка, то есть направлены уведомления, получен ответ от органов или прошло 30 дней с момента поступления т</w:t>
      </w:r>
      <w:r>
        <w:rPr>
          <w:rFonts w:ascii="PT Astra Serif" w:hAnsi="PT Astra Serif" w:eastAsia="PT Astra Serif" w:cs="PT Astra Serif"/>
          <w:color w:val="060708"/>
          <w:sz w:val="24"/>
          <w:szCs w:val="24"/>
          <w:highlight w:val="none"/>
        </w:rPr>
        <w:t xml:space="preserve">аких уведомлений в Министерство имущественных отношений Иркутской области и в местную администрацию.</w:t>
      </w:r>
      <w:r>
        <w:rPr>
          <w:rFonts w:ascii="PT Astra Serif" w:hAnsi="PT Astra Serif" w:eastAsia="PT Astra Serif" w:cs="PT Astra Serif"/>
          <w:color w:val="060708"/>
          <w:sz w:val="24"/>
          <w:szCs w:val="24"/>
          <w:highlight w:val="none"/>
        </w:rPr>
      </w:r>
    </w:p>
    <w:p>
      <w:r>
        <w:rPr>
          <w:rFonts w:ascii="PT Astra Serif" w:hAnsi="PT Astra Serif" w:eastAsia="PT Astra Serif" w:cs="PT Astra Serif"/>
          <w:color w:val="060708"/>
          <w:sz w:val="24"/>
          <w:szCs w:val="24"/>
          <w:highlight w:val="none"/>
        </w:rPr>
        <w:t xml:space="preserve">Также поясняем, что эти правила не распространяются на садовые, огородные земельные участки, участки для ведения личного подсобного хозяйства, участки для гаражного строительства и  участки, на которых расположены объекты недвижимого имущества.</w:t>
      </w:r>
      <w:r>
        <w:rPr>
          <w:rFonts w:ascii="PT Astra Serif" w:hAnsi="PT Astra Serif" w:eastAsia="PT Astra Serif" w:cs="PT Astra Serif"/>
          <w:color w:val="060708"/>
          <w:sz w:val="24"/>
          <w:szCs w:val="24"/>
          <w:highlight w:val="none"/>
        </w:rPr>
      </w:r>
    </w:p>
    <w:p>
      <w:r>
        <w:rPr>
          <w:rFonts w:ascii="PT Astra Serif" w:hAnsi="PT Astra Serif" w:eastAsia="PT Astra Serif" w:cs="PT Astra Serif"/>
          <w:color w:val="060708"/>
          <w:sz w:val="24"/>
          <w:szCs w:val="24"/>
          <w:highlight w:val="none"/>
        </w:rPr>
        <w:t xml:space="preserve">Такие участки можно продавать сразу, без направления уведомлений в органы.</w:t>
      </w:r>
      <w:r>
        <w:rPr>
          <w:rFonts w:ascii="PT Astra Serif" w:hAnsi="PT Astra Serif" w:eastAsia="PT Astra Serif" w:cs="PT Astra Serif"/>
          <w:color w:val="060708"/>
          <w:sz w:val="24"/>
          <w:szCs w:val="24"/>
          <w:highlight w:val="none"/>
        </w:rPr>
      </w:r>
    </w:p>
    <w:p>
      <w:pPr>
        <w:rPr>
          <w:rFonts w:ascii="PT Astra Serif" w:hAnsi="PT Astra Serif" w:eastAsia="PT Astra Serif" w:cs="PT Astra Serif"/>
          <w:color w:val="060708"/>
          <w:sz w:val="24"/>
          <w:szCs w:val="24"/>
          <w:highlight w:val="none"/>
        </w:rPr>
      </w:pPr>
      <w:r>
        <w:rPr>
          <w:rFonts w:ascii="PT Astra Serif" w:hAnsi="PT Astra Serif" w:eastAsia="PT Astra Serif" w:cs="PT Astra Serif"/>
          <w:color w:val="060708"/>
          <w:sz w:val="24"/>
          <w:szCs w:val="24"/>
          <w:highlight w:val="none"/>
        </w:rPr>
        <w:t xml:space="preserve">Вопросы по данной теме можно задать по бесплатному справочному телефону Управления Росреестра по Иркутской области 8(3952) 450-150.</w:t>
      </w:r>
      <w:r>
        <w:rPr>
          <w:rFonts w:ascii="PT Astra Serif" w:hAnsi="PT Astra Serif" w:eastAsia="PT Astra Serif" w:cs="PT Astra Serif"/>
          <w:color w:val="060708"/>
          <w:sz w:val="24"/>
          <w:szCs w:val="24"/>
          <w:highlight w:val="none"/>
        </w:rPr>
      </w:r>
      <w:r>
        <w:rPr>
          <w:rFonts w:ascii="PT Astra Serif" w:hAnsi="PT Astra Serif" w:eastAsia="PT Astra Serif" w:cs="PT Astra Serif"/>
          <w:color w:val="060708"/>
          <w:sz w:val="24"/>
          <w:szCs w:val="24"/>
          <w:highlight w:val="none"/>
        </w:rPr>
      </w:r>
    </w:p>
    <w:p>
      <w:r/>
      <w:r/>
    </w:p>
    <w:p>
      <w:pPr>
        <w:jc w:val="both"/>
        <w:spacing w:after="0" w:line="276" w:lineRule="auto"/>
        <w:rPr>
          <w:rFonts w:ascii="PT Astra Serif" w:hAnsi="PT Astra Serif" w:cs="PT Astra Serif"/>
          <w:bCs/>
          <w:i/>
          <w:sz w:val="24"/>
          <w:szCs w:val="24"/>
          <w:highlight w:val="none"/>
        </w:rPr>
      </w:pPr>
      <w:r>
        <w:rPr>
          <w:rFonts w:ascii="PT Astra Serif" w:hAnsi="PT Astra Serif" w:eastAsia="PT Astra Serif" w:cs="PT Astra Serif"/>
          <w:i/>
          <w:iCs/>
          <w:sz w:val="24"/>
          <w:szCs w:val="24"/>
          <w:highlight w:val="none"/>
        </w:rPr>
        <w:t xml:space="preserve">Пресс-служба Управления Росреестра по Иркутской области</w:t>
      </w:r>
      <w:r>
        <w:rPr>
          <w:rFonts w:ascii="PT Astra Serif" w:hAnsi="PT Astra Serif" w:eastAsia="PT Astra Serif" w:cs="PT Astra Serif"/>
          <w:bCs/>
          <w:i/>
          <w:sz w:val="24"/>
          <w:szCs w:val="24"/>
          <w:highlight w:val="none"/>
        </w:rPr>
      </w:r>
      <w:r>
        <w:rPr>
          <w:rFonts w:ascii="PT Astra Serif" w:hAnsi="PT Astra Serif" w:cs="PT Astra Serif"/>
          <w:bCs/>
          <w:i/>
          <w:sz w:val="24"/>
          <w:szCs w:val="24"/>
          <w:highlight w:val="none"/>
        </w:rPr>
      </w:r>
      <w:r>
        <w:rPr>
          <w:rFonts w:ascii="Liberation Sans" w:hAnsi="Liberation Sans" w:cs="Liberation Sans"/>
          <w:sz w:val="24"/>
          <w:szCs w:val="24"/>
          <w:highlight w:val="none"/>
        </w:rPr>
      </w:r>
      <w:r>
        <w:rPr>
          <w:rFonts w:ascii="Liberation Sans" w:hAnsi="Liberation Sans" w:cs="Liberation Sans"/>
          <w:sz w:val="24"/>
          <w:szCs w:val="24"/>
        </w:rPr>
      </w:r>
      <w:r>
        <w:rPr>
          <w:rFonts w:ascii="Liberation Sans" w:hAnsi="Liberation Sans" w:cs="Liberation Sans"/>
          <w:sz w:val="24"/>
          <w:szCs w:val="24"/>
        </w:rPr>
      </w:r>
      <w:r>
        <w:rPr>
          <w:rFonts w:ascii="PT Astra Serif" w:hAnsi="PT Astra Serif" w:cs="PT Astra Serif"/>
          <w:bCs/>
          <w:i/>
          <w:sz w:val="24"/>
          <w:szCs w:val="24"/>
          <w:highlight w:val="none"/>
        </w:rPr>
      </w:r>
      <w:r>
        <w:rPr>
          <w:rFonts w:ascii="Liberation Sans" w:hAnsi="Liberation Sans" w:eastAsia="Liberation Sans" w:cs="Liberation Sans"/>
          <w:i/>
          <w:color w:val="202122"/>
          <w:sz w:val="24"/>
          <w:szCs w:val="24"/>
          <w:highlight w:val="none"/>
          <w:shd w:val="clear" w:color="auto" w:fill="ffffff"/>
        </w:rPr>
      </w:r>
      <w:r>
        <w:rPr>
          <w:rFonts w:ascii="Liberation Sans" w:hAnsi="Liberation Sans" w:cs="Liberation Sans"/>
          <w:bCs/>
          <w:i/>
          <w:color w:val="202122"/>
          <w:sz w:val="24"/>
          <w:szCs w:val="24"/>
        </w:rPr>
      </w:r>
      <w:r>
        <w:rPr>
          <w:rFonts w:ascii="Liberation Sans" w:hAnsi="Liberation Sans" w:cs="Liberation Sans"/>
          <w:bCs/>
          <w:i/>
          <w:color w:val="202122"/>
          <w:sz w:val="24"/>
          <w:szCs w:val="24"/>
        </w:rPr>
      </w:r>
      <w:r>
        <w:rPr>
          <w:rFonts w:ascii="PT Astra Serif" w:hAnsi="PT Astra Serif" w:cs="PT Astra Serif"/>
          <w:bCs/>
          <w:i/>
          <w:sz w:val="24"/>
          <w:szCs w:val="24"/>
          <w:highlight w:val="none"/>
        </w:rPr>
      </w:r>
    </w:p>
    <w:sectPr>
      <w:footnotePr/>
      <w:endnotePr/>
      <w:type w:val="nextPage"/>
      <w:pgSz w:w="11906" w:h="16838" w:orient="portrait"/>
      <w:pgMar w:top="567" w:right="707" w:bottom="568" w:left="993"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ans">
    <w:panose1 w:val="020B0604020202020204"/>
  </w:font>
  <w:font w:name="Wingdings">
    <w:panose1 w:val="05010000000000000000"/>
  </w:font>
  <w:font w:name="Courier New">
    <w:panose1 w:val="02070409020205020404"/>
  </w:font>
  <w:font w:name="Symbol">
    <w:panose1 w:val="05010000000000000000"/>
  </w:font>
  <w:font w:name="Times New Roman">
    <w:panose1 w:val="02020603050405020304"/>
  </w:font>
  <w:font w:name="Segoe UI">
    <w:panose1 w:val="020B0502040504020204"/>
  </w:font>
  <w:font w:name="PT Astra Serif">
    <w:panose1 w:val="020A06030405050202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56">
    <w:name w:val="Heading 1"/>
    <w:basedOn w:val="829"/>
    <w:next w:val="829"/>
    <w:link w:val="657"/>
    <w:uiPriority w:val="9"/>
    <w:qFormat/>
    <w:pPr>
      <w:keepLines/>
      <w:keepNext/>
      <w:spacing w:before="480" w:after="200"/>
      <w:outlineLvl w:val="0"/>
    </w:pPr>
    <w:rPr>
      <w:rFonts w:ascii="Arial" w:hAnsi="Arial" w:eastAsia="Arial" w:cs="Arial"/>
      <w:sz w:val="40"/>
      <w:szCs w:val="40"/>
    </w:rPr>
  </w:style>
  <w:style w:type="character" w:styleId="657">
    <w:name w:val="Heading 1 Char"/>
    <w:basedOn w:val="830"/>
    <w:link w:val="656"/>
    <w:uiPriority w:val="9"/>
    <w:rPr>
      <w:rFonts w:ascii="Arial" w:hAnsi="Arial" w:eastAsia="Arial" w:cs="Arial"/>
      <w:sz w:val="40"/>
      <w:szCs w:val="40"/>
    </w:rPr>
  </w:style>
  <w:style w:type="paragraph" w:styleId="658">
    <w:name w:val="Heading 2"/>
    <w:basedOn w:val="829"/>
    <w:next w:val="829"/>
    <w:link w:val="659"/>
    <w:uiPriority w:val="9"/>
    <w:unhideWhenUsed/>
    <w:qFormat/>
    <w:pPr>
      <w:keepLines/>
      <w:keepNext/>
      <w:spacing w:before="360" w:after="200"/>
      <w:outlineLvl w:val="1"/>
    </w:pPr>
    <w:rPr>
      <w:rFonts w:ascii="Arial" w:hAnsi="Arial" w:eastAsia="Arial" w:cs="Arial"/>
      <w:sz w:val="34"/>
    </w:rPr>
  </w:style>
  <w:style w:type="character" w:styleId="659">
    <w:name w:val="Heading 2 Char"/>
    <w:basedOn w:val="830"/>
    <w:link w:val="658"/>
    <w:uiPriority w:val="9"/>
    <w:rPr>
      <w:rFonts w:ascii="Arial" w:hAnsi="Arial" w:eastAsia="Arial" w:cs="Arial"/>
      <w:sz w:val="34"/>
    </w:rPr>
  </w:style>
  <w:style w:type="paragraph" w:styleId="660">
    <w:name w:val="Heading 3"/>
    <w:basedOn w:val="829"/>
    <w:next w:val="829"/>
    <w:link w:val="661"/>
    <w:uiPriority w:val="9"/>
    <w:unhideWhenUsed/>
    <w:qFormat/>
    <w:pPr>
      <w:keepLines/>
      <w:keepNext/>
      <w:spacing w:before="320" w:after="200"/>
      <w:outlineLvl w:val="2"/>
    </w:pPr>
    <w:rPr>
      <w:rFonts w:ascii="Arial" w:hAnsi="Arial" w:eastAsia="Arial" w:cs="Arial"/>
      <w:sz w:val="30"/>
      <w:szCs w:val="30"/>
    </w:rPr>
  </w:style>
  <w:style w:type="character" w:styleId="661">
    <w:name w:val="Heading 3 Char"/>
    <w:basedOn w:val="830"/>
    <w:link w:val="660"/>
    <w:uiPriority w:val="9"/>
    <w:rPr>
      <w:rFonts w:ascii="Arial" w:hAnsi="Arial" w:eastAsia="Arial" w:cs="Arial"/>
      <w:sz w:val="30"/>
      <w:szCs w:val="30"/>
    </w:rPr>
  </w:style>
  <w:style w:type="paragraph" w:styleId="662">
    <w:name w:val="Heading 4"/>
    <w:basedOn w:val="829"/>
    <w:next w:val="829"/>
    <w:link w:val="663"/>
    <w:uiPriority w:val="9"/>
    <w:unhideWhenUsed/>
    <w:qFormat/>
    <w:pPr>
      <w:keepLines/>
      <w:keepNext/>
      <w:spacing w:before="320" w:after="200"/>
      <w:outlineLvl w:val="3"/>
    </w:pPr>
    <w:rPr>
      <w:rFonts w:ascii="Arial" w:hAnsi="Arial" w:eastAsia="Arial" w:cs="Arial"/>
      <w:b/>
      <w:bCs/>
      <w:sz w:val="26"/>
      <w:szCs w:val="26"/>
    </w:rPr>
  </w:style>
  <w:style w:type="character" w:styleId="663">
    <w:name w:val="Heading 4 Char"/>
    <w:basedOn w:val="830"/>
    <w:link w:val="662"/>
    <w:uiPriority w:val="9"/>
    <w:rPr>
      <w:rFonts w:ascii="Arial" w:hAnsi="Arial" w:eastAsia="Arial" w:cs="Arial"/>
      <w:b/>
      <w:bCs/>
      <w:sz w:val="26"/>
      <w:szCs w:val="26"/>
    </w:rPr>
  </w:style>
  <w:style w:type="paragraph" w:styleId="664">
    <w:name w:val="Heading 5"/>
    <w:basedOn w:val="829"/>
    <w:next w:val="829"/>
    <w:link w:val="665"/>
    <w:uiPriority w:val="9"/>
    <w:unhideWhenUsed/>
    <w:qFormat/>
    <w:pPr>
      <w:keepLines/>
      <w:keepNext/>
      <w:spacing w:before="320" w:after="200"/>
      <w:outlineLvl w:val="4"/>
    </w:pPr>
    <w:rPr>
      <w:rFonts w:ascii="Arial" w:hAnsi="Arial" w:eastAsia="Arial" w:cs="Arial"/>
      <w:b/>
      <w:bCs/>
      <w:sz w:val="24"/>
      <w:szCs w:val="24"/>
    </w:rPr>
  </w:style>
  <w:style w:type="character" w:styleId="665">
    <w:name w:val="Heading 5 Char"/>
    <w:basedOn w:val="830"/>
    <w:link w:val="664"/>
    <w:uiPriority w:val="9"/>
    <w:rPr>
      <w:rFonts w:ascii="Arial" w:hAnsi="Arial" w:eastAsia="Arial" w:cs="Arial"/>
      <w:b/>
      <w:bCs/>
      <w:sz w:val="24"/>
      <w:szCs w:val="24"/>
    </w:rPr>
  </w:style>
  <w:style w:type="paragraph" w:styleId="666">
    <w:name w:val="Heading 6"/>
    <w:basedOn w:val="829"/>
    <w:next w:val="829"/>
    <w:link w:val="667"/>
    <w:uiPriority w:val="9"/>
    <w:unhideWhenUsed/>
    <w:qFormat/>
    <w:pPr>
      <w:keepLines/>
      <w:keepNext/>
      <w:spacing w:before="320" w:after="200"/>
      <w:outlineLvl w:val="5"/>
    </w:pPr>
    <w:rPr>
      <w:rFonts w:ascii="Arial" w:hAnsi="Arial" w:eastAsia="Arial" w:cs="Arial"/>
      <w:b/>
      <w:bCs/>
      <w:sz w:val="22"/>
      <w:szCs w:val="22"/>
    </w:rPr>
  </w:style>
  <w:style w:type="character" w:styleId="667">
    <w:name w:val="Heading 6 Char"/>
    <w:basedOn w:val="830"/>
    <w:link w:val="666"/>
    <w:uiPriority w:val="9"/>
    <w:rPr>
      <w:rFonts w:ascii="Arial" w:hAnsi="Arial" w:eastAsia="Arial" w:cs="Arial"/>
      <w:b/>
      <w:bCs/>
      <w:sz w:val="22"/>
      <w:szCs w:val="22"/>
    </w:rPr>
  </w:style>
  <w:style w:type="paragraph" w:styleId="668">
    <w:name w:val="Heading 7"/>
    <w:basedOn w:val="829"/>
    <w:next w:val="829"/>
    <w:link w:val="669"/>
    <w:uiPriority w:val="9"/>
    <w:unhideWhenUsed/>
    <w:qFormat/>
    <w:pPr>
      <w:keepLines/>
      <w:keepNext/>
      <w:spacing w:before="320" w:after="200"/>
      <w:outlineLvl w:val="6"/>
    </w:pPr>
    <w:rPr>
      <w:rFonts w:ascii="Arial" w:hAnsi="Arial" w:eastAsia="Arial" w:cs="Arial"/>
      <w:b/>
      <w:bCs/>
      <w:i/>
      <w:iCs/>
      <w:sz w:val="22"/>
      <w:szCs w:val="22"/>
    </w:rPr>
  </w:style>
  <w:style w:type="character" w:styleId="669">
    <w:name w:val="Heading 7 Char"/>
    <w:basedOn w:val="830"/>
    <w:link w:val="668"/>
    <w:uiPriority w:val="9"/>
    <w:rPr>
      <w:rFonts w:ascii="Arial" w:hAnsi="Arial" w:eastAsia="Arial" w:cs="Arial"/>
      <w:b/>
      <w:bCs/>
      <w:i/>
      <w:iCs/>
      <w:sz w:val="22"/>
      <w:szCs w:val="22"/>
    </w:rPr>
  </w:style>
  <w:style w:type="paragraph" w:styleId="670">
    <w:name w:val="Heading 8"/>
    <w:basedOn w:val="829"/>
    <w:next w:val="829"/>
    <w:link w:val="671"/>
    <w:uiPriority w:val="9"/>
    <w:unhideWhenUsed/>
    <w:qFormat/>
    <w:pPr>
      <w:keepLines/>
      <w:keepNext/>
      <w:spacing w:before="320" w:after="200"/>
      <w:outlineLvl w:val="7"/>
    </w:pPr>
    <w:rPr>
      <w:rFonts w:ascii="Arial" w:hAnsi="Arial" w:eastAsia="Arial" w:cs="Arial"/>
      <w:i/>
      <w:iCs/>
      <w:sz w:val="22"/>
      <w:szCs w:val="22"/>
    </w:rPr>
  </w:style>
  <w:style w:type="character" w:styleId="671">
    <w:name w:val="Heading 8 Char"/>
    <w:basedOn w:val="830"/>
    <w:link w:val="670"/>
    <w:uiPriority w:val="9"/>
    <w:rPr>
      <w:rFonts w:ascii="Arial" w:hAnsi="Arial" w:eastAsia="Arial" w:cs="Arial"/>
      <w:i/>
      <w:iCs/>
      <w:sz w:val="22"/>
      <w:szCs w:val="22"/>
    </w:rPr>
  </w:style>
  <w:style w:type="paragraph" w:styleId="672">
    <w:name w:val="Heading 9"/>
    <w:basedOn w:val="829"/>
    <w:next w:val="829"/>
    <w:link w:val="673"/>
    <w:uiPriority w:val="9"/>
    <w:unhideWhenUsed/>
    <w:qFormat/>
    <w:pPr>
      <w:keepLines/>
      <w:keepNext/>
      <w:spacing w:before="320" w:after="200"/>
      <w:outlineLvl w:val="8"/>
    </w:pPr>
    <w:rPr>
      <w:rFonts w:ascii="Arial" w:hAnsi="Arial" w:eastAsia="Arial" w:cs="Arial"/>
      <w:i/>
      <w:iCs/>
      <w:sz w:val="21"/>
      <w:szCs w:val="21"/>
    </w:rPr>
  </w:style>
  <w:style w:type="character" w:styleId="673">
    <w:name w:val="Heading 9 Char"/>
    <w:basedOn w:val="830"/>
    <w:link w:val="672"/>
    <w:uiPriority w:val="9"/>
    <w:rPr>
      <w:rFonts w:ascii="Arial" w:hAnsi="Arial" w:eastAsia="Arial" w:cs="Arial"/>
      <w:i/>
      <w:iCs/>
      <w:sz w:val="21"/>
      <w:szCs w:val="21"/>
    </w:rPr>
  </w:style>
  <w:style w:type="paragraph" w:styleId="674">
    <w:name w:val="No Spacing"/>
    <w:uiPriority w:val="1"/>
    <w:qFormat/>
    <w:pPr>
      <w:spacing w:before="0" w:after="0" w:line="240" w:lineRule="auto"/>
    </w:pPr>
  </w:style>
  <w:style w:type="paragraph" w:styleId="675">
    <w:name w:val="Title"/>
    <w:basedOn w:val="829"/>
    <w:next w:val="829"/>
    <w:link w:val="676"/>
    <w:uiPriority w:val="10"/>
    <w:qFormat/>
    <w:pPr>
      <w:contextualSpacing/>
      <w:spacing w:before="300" w:after="200"/>
    </w:pPr>
    <w:rPr>
      <w:sz w:val="48"/>
      <w:szCs w:val="48"/>
    </w:rPr>
  </w:style>
  <w:style w:type="character" w:styleId="676">
    <w:name w:val="Title Char"/>
    <w:basedOn w:val="830"/>
    <w:link w:val="675"/>
    <w:uiPriority w:val="10"/>
    <w:rPr>
      <w:sz w:val="48"/>
      <w:szCs w:val="48"/>
    </w:rPr>
  </w:style>
  <w:style w:type="paragraph" w:styleId="677">
    <w:name w:val="Subtitle"/>
    <w:basedOn w:val="829"/>
    <w:next w:val="829"/>
    <w:link w:val="678"/>
    <w:uiPriority w:val="11"/>
    <w:qFormat/>
    <w:pPr>
      <w:spacing w:before="200" w:after="200"/>
    </w:pPr>
    <w:rPr>
      <w:sz w:val="24"/>
      <w:szCs w:val="24"/>
    </w:rPr>
  </w:style>
  <w:style w:type="character" w:styleId="678">
    <w:name w:val="Subtitle Char"/>
    <w:basedOn w:val="830"/>
    <w:link w:val="677"/>
    <w:uiPriority w:val="11"/>
    <w:rPr>
      <w:sz w:val="24"/>
      <w:szCs w:val="24"/>
    </w:rPr>
  </w:style>
  <w:style w:type="paragraph" w:styleId="679">
    <w:name w:val="Quote"/>
    <w:basedOn w:val="829"/>
    <w:next w:val="829"/>
    <w:link w:val="680"/>
    <w:uiPriority w:val="29"/>
    <w:qFormat/>
    <w:pPr>
      <w:ind w:left="720" w:right="720"/>
    </w:pPr>
    <w:rPr>
      <w:i/>
    </w:rPr>
  </w:style>
  <w:style w:type="character" w:styleId="680">
    <w:name w:val="Quote Char"/>
    <w:link w:val="679"/>
    <w:uiPriority w:val="29"/>
    <w:rPr>
      <w:i/>
    </w:rPr>
  </w:style>
  <w:style w:type="paragraph" w:styleId="681">
    <w:name w:val="Intense Quote"/>
    <w:basedOn w:val="829"/>
    <w:next w:val="829"/>
    <w:link w:val="68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82">
    <w:name w:val="Intense Quote Char"/>
    <w:link w:val="681"/>
    <w:uiPriority w:val="30"/>
    <w:rPr>
      <w:i/>
    </w:rPr>
  </w:style>
  <w:style w:type="character" w:styleId="683">
    <w:name w:val="Header Char"/>
    <w:basedOn w:val="830"/>
    <w:link w:val="841"/>
    <w:uiPriority w:val="99"/>
  </w:style>
  <w:style w:type="character" w:styleId="684">
    <w:name w:val="Footer Char"/>
    <w:basedOn w:val="830"/>
    <w:link w:val="843"/>
    <w:uiPriority w:val="99"/>
  </w:style>
  <w:style w:type="paragraph" w:styleId="685">
    <w:name w:val="Caption"/>
    <w:basedOn w:val="829"/>
    <w:next w:val="829"/>
    <w:link w:val="686"/>
    <w:uiPriority w:val="35"/>
    <w:semiHidden/>
    <w:unhideWhenUsed/>
    <w:qFormat/>
    <w:pPr>
      <w:spacing w:line="276" w:lineRule="auto"/>
    </w:pPr>
    <w:rPr>
      <w:b/>
      <w:bCs/>
      <w:color w:val="4f81bd" w:themeColor="accent1"/>
      <w:sz w:val="18"/>
      <w:szCs w:val="18"/>
    </w:rPr>
  </w:style>
  <w:style w:type="character" w:styleId="686">
    <w:name w:val="Caption Char"/>
    <w:basedOn w:val="685"/>
    <w:link w:val="843"/>
    <w:uiPriority w:val="99"/>
  </w:style>
  <w:style w:type="table" w:styleId="687">
    <w:name w:val="Table Grid Light"/>
    <w:basedOn w:val="83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88">
    <w:name w:val="Plain Table 1"/>
    <w:basedOn w:val="83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89">
    <w:name w:val="Plain Table 2"/>
    <w:basedOn w:val="83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0">
    <w:name w:val="Plain Table 3"/>
    <w:basedOn w:val="83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91">
    <w:name w:val="Plain Table 4"/>
    <w:basedOn w:val="83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92">
    <w:name w:val="Plain Table 5"/>
    <w:basedOn w:val="83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93">
    <w:name w:val="Grid Table 1 Light"/>
    <w:basedOn w:val="83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94">
    <w:name w:val="Grid Table 1 Light - Accent 1"/>
    <w:basedOn w:val="83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695">
    <w:name w:val="Grid Table 1 Light - Accent 2"/>
    <w:basedOn w:val="83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696">
    <w:name w:val="Grid Table 1 Light - Accent 3"/>
    <w:basedOn w:val="83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97">
    <w:name w:val="Grid Table 1 Light - Accent 4"/>
    <w:basedOn w:val="83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98">
    <w:name w:val="Grid Table 1 Light - Accent 5"/>
    <w:basedOn w:val="83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99">
    <w:name w:val="Grid Table 1 Light - Accent 6"/>
    <w:basedOn w:val="83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00">
    <w:name w:val="Grid Table 2"/>
    <w:basedOn w:val="83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01">
    <w:name w:val="Grid Table 2 - Accent 1"/>
    <w:basedOn w:val="83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02">
    <w:name w:val="Grid Table 2 - Accent 2"/>
    <w:basedOn w:val="83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03">
    <w:name w:val="Grid Table 2 - Accent 3"/>
    <w:basedOn w:val="83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04">
    <w:name w:val="Grid Table 2 - Accent 4"/>
    <w:basedOn w:val="83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05">
    <w:name w:val="Grid Table 2 - Accent 5"/>
    <w:basedOn w:val="83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06">
    <w:name w:val="Grid Table 2 - Accent 6"/>
    <w:basedOn w:val="83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07">
    <w:name w:val="Grid Table 3"/>
    <w:basedOn w:val="83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8">
    <w:name w:val="Grid Table 3 - Accent 1"/>
    <w:basedOn w:val="83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9">
    <w:name w:val="Grid Table 3 - Accent 2"/>
    <w:basedOn w:val="83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0">
    <w:name w:val="Grid Table 3 - Accent 3"/>
    <w:basedOn w:val="83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1">
    <w:name w:val="Grid Table 3 - Accent 4"/>
    <w:basedOn w:val="83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2">
    <w:name w:val="Grid Table 3 - Accent 5"/>
    <w:basedOn w:val="83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3">
    <w:name w:val="Grid Table 3 - Accent 6"/>
    <w:basedOn w:val="83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4">
    <w:name w:val="Grid Table 4"/>
    <w:basedOn w:val="83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15">
    <w:name w:val="Grid Table 4 - Accent 1"/>
    <w:basedOn w:val="83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16">
    <w:name w:val="Grid Table 4 - Accent 2"/>
    <w:basedOn w:val="83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17">
    <w:name w:val="Grid Table 4 - Accent 3"/>
    <w:basedOn w:val="83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18">
    <w:name w:val="Grid Table 4 - Accent 4"/>
    <w:basedOn w:val="83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19">
    <w:name w:val="Grid Table 4 - Accent 5"/>
    <w:basedOn w:val="83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20">
    <w:name w:val="Grid Table 4 - Accent 6"/>
    <w:basedOn w:val="83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21">
    <w:name w:val="Grid Table 5 Dark"/>
    <w:basedOn w:val="8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22">
    <w:name w:val="Grid Table 5 Dark- Accent 1"/>
    <w:basedOn w:val="8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723">
    <w:name w:val="Grid Table 5 Dark - Accent 2"/>
    <w:basedOn w:val="8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24">
    <w:name w:val="Grid Table 5 Dark - Accent 3"/>
    <w:basedOn w:val="8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25">
    <w:name w:val="Grid Table 5 Dark- Accent 4"/>
    <w:basedOn w:val="8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26">
    <w:name w:val="Grid Table 5 Dark - Accent 5"/>
    <w:basedOn w:val="8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727">
    <w:name w:val="Grid Table 5 Dark - Accent 6"/>
    <w:basedOn w:val="8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28">
    <w:name w:val="Grid Table 6 Colorful"/>
    <w:basedOn w:val="83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29">
    <w:name w:val="Grid Table 6 Colorful - Accent 1"/>
    <w:basedOn w:val="83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30">
    <w:name w:val="Grid Table 6 Colorful - Accent 2"/>
    <w:basedOn w:val="83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31">
    <w:name w:val="Grid Table 6 Colorful - Accent 3"/>
    <w:basedOn w:val="83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32">
    <w:name w:val="Grid Table 6 Colorful - Accent 4"/>
    <w:basedOn w:val="83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33">
    <w:name w:val="Grid Table 6 Colorful - Accent 5"/>
    <w:basedOn w:val="83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34">
    <w:name w:val="Grid Table 6 Colorful - Accent 6"/>
    <w:basedOn w:val="83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35">
    <w:name w:val="Grid Table 7 Colorful"/>
    <w:basedOn w:val="83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36">
    <w:name w:val="Grid Table 7 Colorful - Accent 1"/>
    <w:basedOn w:val="83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37">
    <w:name w:val="Grid Table 7 Colorful - Accent 2"/>
    <w:basedOn w:val="83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38">
    <w:name w:val="Grid Table 7 Colorful - Accent 3"/>
    <w:basedOn w:val="83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39">
    <w:name w:val="Grid Table 7 Colorful - Accent 4"/>
    <w:basedOn w:val="83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40">
    <w:name w:val="Grid Table 7 Colorful - Accent 5"/>
    <w:basedOn w:val="83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41">
    <w:name w:val="Grid Table 7 Colorful - Accent 6"/>
    <w:basedOn w:val="83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42">
    <w:name w:val="List Table 1 Light"/>
    <w:basedOn w:val="831"/>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43">
    <w:name w:val="List Table 1 Light - Accent 1"/>
    <w:basedOn w:val="831"/>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44">
    <w:name w:val="List Table 1 Light - Accent 2"/>
    <w:basedOn w:val="831"/>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45">
    <w:name w:val="List Table 1 Light - Accent 3"/>
    <w:basedOn w:val="831"/>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46">
    <w:name w:val="List Table 1 Light - Accent 4"/>
    <w:basedOn w:val="831"/>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47">
    <w:name w:val="List Table 1 Light - Accent 5"/>
    <w:basedOn w:val="831"/>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48">
    <w:name w:val="List Table 1 Light - Accent 6"/>
    <w:basedOn w:val="831"/>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49">
    <w:name w:val="List Table 2"/>
    <w:basedOn w:val="83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50">
    <w:name w:val="List Table 2 - Accent 1"/>
    <w:basedOn w:val="83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51">
    <w:name w:val="List Table 2 - Accent 2"/>
    <w:basedOn w:val="83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52">
    <w:name w:val="List Table 2 - Accent 3"/>
    <w:basedOn w:val="83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53">
    <w:name w:val="List Table 2 - Accent 4"/>
    <w:basedOn w:val="83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54">
    <w:name w:val="List Table 2 - Accent 5"/>
    <w:basedOn w:val="83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55">
    <w:name w:val="List Table 2 - Accent 6"/>
    <w:basedOn w:val="83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56">
    <w:name w:val="List Table 3"/>
    <w:basedOn w:val="83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57">
    <w:name w:val="List Table 3 - Accent 1"/>
    <w:basedOn w:val="83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58">
    <w:name w:val="List Table 3 - Accent 2"/>
    <w:basedOn w:val="83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759">
    <w:name w:val="List Table 3 - Accent 3"/>
    <w:basedOn w:val="83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760">
    <w:name w:val="List Table 3 - Accent 4"/>
    <w:basedOn w:val="83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761">
    <w:name w:val="List Table 3 - Accent 5"/>
    <w:basedOn w:val="83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762">
    <w:name w:val="List Table 3 - Accent 6"/>
    <w:basedOn w:val="83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763">
    <w:name w:val="List Table 4"/>
    <w:basedOn w:val="83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4">
    <w:name w:val="List Table 4 - Accent 1"/>
    <w:basedOn w:val="83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65">
    <w:name w:val="List Table 4 - Accent 2"/>
    <w:basedOn w:val="83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766">
    <w:name w:val="List Table 4 - Accent 3"/>
    <w:basedOn w:val="83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767">
    <w:name w:val="List Table 4 - Accent 4"/>
    <w:basedOn w:val="83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768">
    <w:name w:val="List Table 4 - Accent 5"/>
    <w:basedOn w:val="83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769">
    <w:name w:val="List Table 4 - Accent 6"/>
    <w:basedOn w:val="83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770">
    <w:name w:val="List Table 5 Dark"/>
    <w:basedOn w:val="83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1">
    <w:name w:val="List Table 5 Dark - Accent 1"/>
    <w:basedOn w:val="83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2">
    <w:name w:val="List Table 5 Dark - Accent 2"/>
    <w:basedOn w:val="83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3">
    <w:name w:val="List Table 5 Dark - Accent 3"/>
    <w:basedOn w:val="83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4">
    <w:name w:val="List Table 5 Dark - Accent 4"/>
    <w:basedOn w:val="83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5">
    <w:name w:val="List Table 5 Dark - Accent 5"/>
    <w:basedOn w:val="83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6">
    <w:name w:val="List Table 5 Dark - Accent 6"/>
    <w:basedOn w:val="83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7">
    <w:name w:val="List Table 6 Colorful"/>
    <w:basedOn w:val="83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78">
    <w:name w:val="List Table 6 Colorful - Accent 1"/>
    <w:basedOn w:val="83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779">
    <w:name w:val="List Table 6 Colorful - Accent 2"/>
    <w:basedOn w:val="83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780">
    <w:name w:val="List Table 6 Colorful - Accent 3"/>
    <w:basedOn w:val="83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781">
    <w:name w:val="List Table 6 Colorful - Accent 4"/>
    <w:basedOn w:val="83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782">
    <w:name w:val="List Table 6 Colorful - Accent 5"/>
    <w:basedOn w:val="83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783">
    <w:name w:val="List Table 6 Colorful - Accent 6"/>
    <w:basedOn w:val="83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784">
    <w:name w:val="List Table 7 Colorful"/>
    <w:basedOn w:val="83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85">
    <w:name w:val="List Table 7 Colorful - Accent 1"/>
    <w:basedOn w:val="83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786">
    <w:name w:val="List Table 7 Colorful - Accent 2"/>
    <w:basedOn w:val="83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787">
    <w:name w:val="List Table 7 Colorful - Accent 3"/>
    <w:basedOn w:val="83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788">
    <w:name w:val="List Table 7 Colorful - Accent 4"/>
    <w:basedOn w:val="83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789">
    <w:name w:val="List Table 7 Colorful - Accent 5"/>
    <w:basedOn w:val="83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790">
    <w:name w:val="List Table 7 Colorful - Accent 6"/>
    <w:basedOn w:val="83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791">
    <w:name w:val="Lined - Accent"/>
    <w:basedOn w:val="8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92">
    <w:name w:val="Lined - Accent 1"/>
    <w:basedOn w:val="8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793">
    <w:name w:val="Lined - Accent 2"/>
    <w:basedOn w:val="8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794">
    <w:name w:val="Lined - Accent 3"/>
    <w:basedOn w:val="8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795">
    <w:name w:val="Lined - Accent 4"/>
    <w:basedOn w:val="8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796">
    <w:name w:val="Lined - Accent 5"/>
    <w:basedOn w:val="8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797">
    <w:name w:val="Lined - Accent 6"/>
    <w:basedOn w:val="8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798">
    <w:name w:val="Bordered &amp; Lined - Accent"/>
    <w:basedOn w:val="83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99">
    <w:name w:val="Bordered &amp; Lined - Accent 1"/>
    <w:basedOn w:val="83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00">
    <w:name w:val="Bordered &amp; Lined - Accent 2"/>
    <w:basedOn w:val="83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01">
    <w:name w:val="Bordered &amp; Lined - Accent 3"/>
    <w:basedOn w:val="83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02">
    <w:name w:val="Bordered &amp; Lined - Accent 4"/>
    <w:basedOn w:val="83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03">
    <w:name w:val="Bordered &amp; Lined - Accent 5"/>
    <w:basedOn w:val="83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04">
    <w:name w:val="Bordered &amp; Lined - Accent 6"/>
    <w:basedOn w:val="83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05">
    <w:name w:val="Bordered"/>
    <w:basedOn w:val="83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06">
    <w:name w:val="Bordered - Accent 1"/>
    <w:basedOn w:val="83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07">
    <w:name w:val="Bordered - Accent 2"/>
    <w:basedOn w:val="83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08">
    <w:name w:val="Bordered - Accent 3"/>
    <w:basedOn w:val="83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09">
    <w:name w:val="Bordered - Accent 4"/>
    <w:basedOn w:val="83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10">
    <w:name w:val="Bordered - Accent 5"/>
    <w:basedOn w:val="83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11">
    <w:name w:val="Bordered - Accent 6"/>
    <w:basedOn w:val="83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12">
    <w:name w:val="footnote text"/>
    <w:basedOn w:val="829"/>
    <w:link w:val="813"/>
    <w:uiPriority w:val="99"/>
    <w:semiHidden/>
    <w:unhideWhenUsed/>
    <w:pPr>
      <w:spacing w:after="40" w:line="240" w:lineRule="auto"/>
    </w:pPr>
    <w:rPr>
      <w:sz w:val="18"/>
    </w:rPr>
  </w:style>
  <w:style w:type="character" w:styleId="813">
    <w:name w:val="Footnote Text Char"/>
    <w:link w:val="812"/>
    <w:uiPriority w:val="99"/>
    <w:rPr>
      <w:sz w:val="18"/>
    </w:rPr>
  </w:style>
  <w:style w:type="character" w:styleId="814">
    <w:name w:val="footnote reference"/>
    <w:basedOn w:val="830"/>
    <w:uiPriority w:val="99"/>
    <w:unhideWhenUsed/>
    <w:rPr>
      <w:vertAlign w:val="superscript"/>
    </w:rPr>
  </w:style>
  <w:style w:type="paragraph" w:styleId="815">
    <w:name w:val="endnote text"/>
    <w:basedOn w:val="829"/>
    <w:link w:val="816"/>
    <w:uiPriority w:val="99"/>
    <w:semiHidden/>
    <w:unhideWhenUsed/>
    <w:pPr>
      <w:spacing w:after="0" w:line="240" w:lineRule="auto"/>
    </w:pPr>
    <w:rPr>
      <w:sz w:val="20"/>
    </w:rPr>
  </w:style>
  <w:style w:type="character" w:styleId="816">
    <w:name w:val="Endnote Text Char"/>
    <w:link w:val="815"/>
    <w:uiPriority w:val="99"/>
    <w:rPr>
      <w:sz w:val="20"/>
    </w:rPr>
  </w:style>
  <w:style w:type="character" w:styleId="817">
    <w:name w:val="endnote reference"/>
    <w:basedOn w:val="830"/>
    <w:uiPriority w:val="99"/>
    <w:semiHidden/>
    <w:unhideWhenUsed/>
    <w:rPr>
      <w:vertAlign w:val="superscript"/>
    </w:rPr>
  </w:style>
  <w:style w:type="paragraph" w:styleId="818">
    <w:name w:val="toc 1"/>
    <w:basedOn w:val="829"/>
    <w:next w:val="829"/>
    <w:uiPriority w:val="39"/>
    <w:unhideWhenUsed/>
    <w:pPr>
      <w:ind w:left="0" w:right="0" w:firstLine="0"/>
      <w:spacing w:after="57"/>
    </w:pPr>
  </w:style>
  <w:style w:type="paragraph" w:styleId="819">
    <w:name w:val="toc 2"/>
    <w:basedOn w:val="829"/>
    <w:next w:val="829"/>
    <w:uiPriority w:val="39"/>
    <w:unhideWhenUsed/>
    <w:pPr>
      <w:ind w:left="283" w:right="0" w:firstLine="0"/>
      <w:spacing w:after="57"/>
    </w:pPr>
  </w:style>
  <w:style w:type="paragraph" w:styleId="820">
    <w:name w:val="toc 3"/>
    <w:basedOn w:val="829"/>
    <w:next w:val="829"/>
    <w:uiPriority w:val="39"/>
    <w:unhideWhenUsed/>
    <w:pPr>
      <w:ind w:left="567" w:right="0" w:firstLine="0"/>
      <w:spacing w:after="57"/>
    </w:pPr>
  </w:style>
  <w:style w:type="paragraph" w:styleId="821">
    <w:name w:val="toc 4"/>
    <w:basedOn w:val="829"/>
    <w:next w:val="829"/>
    <w:uiPriority w:val="39"/>
    <w:unhideWhenUsed/>
    <w:pPr>
      <w:ind w:left="850" w:right="0" w:firstLine="0"/>
      <w:spacing w:after="57"/>
    </w:pPr>
  </w:style>
  <w:style w:type="paragraph" w:styleId="822">
    <w:name w:val="toc 5"/>
    <w:basedOn w:val="829"/>
    <w:next w:val="829"/>
    <w:uiPriority w:val="39"/>
    <w:unhideWhenUsed/>
    <w:pPr>
      <w:ind w:left="1134" w:right="0" w:firstLine="0"/>
      <w:spacing w:after="57"/>
    </w:pPr>
  </w:style>
  <w:style w:type="paragraph" w:styleId="823">
    <w:name w:val="toc 6"/>
    <w:basedOn w:val="829"/>
    <w:next w:val="829"/>
    <w:uiPriority w:val="39"/>
    <w:unhideWhenUsed/>
    <w:pPr>
      <w:ind w:left="1417" w:right="0" w:firstLine="0"/>
      <w:spacing w:after="57"/>
    </w:pPr>
  </w:style>
  <w:style w:type="paragraph" w:styleId="824">
    <w:name w:val="toc 7"/>
    <w:basedOn w:val="829"/>
    <w:next w:val="829"/>
    <w:uiPriority w:val="39"/>
    <w:unhideWhenUsed/>
    <w:pPr>
      <w:ind w:left="1701" w:right="0" w:firstLine="0"/>
      <w:spacing w:after="57"/>
    </w:pPr>
  </w:style>
  <w:style w:type="paragraph" w:styleId="825">
    <w:name w:val="toc 8"/>
    <w:basedOn w:val="829"/>
    <w:next w:val="829"/>
    <w:uiPriority w:val="39"/>
    <w:unhideWhenUsed/>
    <w:pPr>
      <w:ind w:left="1984" w:right="0" w:firstLine="0"/>
      <w:spacing w:after="57"/>
    </w:pPr>
  </w:style>
  <w:style w:type="paragraph" w:styleId="826">
    <w:name w:val="toc 9"/>
    <w:basedOn w:val="829"/>
    <w:next w:val="829"/>
    <w:uiPriority w:val="39"/>
    <w:unhideWhenUsed/>
    <w:pPr>
      <w:ind w:left="2268" w:right="0" w:firstLine="0"/>
      <w:spacing w:after="57"/>
    </w:pPr>
  </w:style>
  <w:style w:type="paragraph" w:styleId="827">
    <w:name w:val="TOC Heading"/>
    <w:uiPriority w:val="39"/>
    <w:unhideWhenUsed/>
  </w:style>
  <w:style w:type="paragraph" w:styleId="828">
    <w:name w:val="table of figures"/>
    <w:basedOn w:val="829"/>
    <w:next w:val="829"/>
    <w:uiPriority w:val="99"/>
    <w:unhideWhenUsed/>
    <w:pPr>
      <w:spacing w:after="0" w:afterAutospacing="0"/>
    </w:pPr>
  </w:style>
  <w:style w:type="paragraph" w:styleId="829" w:default="1">
    <w:name w:val="Normal"/>
    <w:qFormat/>
  </w:style>
  <w:style w:type="character" w:styleId="830" w:default="1">
    <w:name w:val="Default Paragraph Font"/>
    <w:uiPriority w:val="1"/>
    <w:semiHidden/>
    <w:unhideWhenUsed/>
  </w:style>
  <w:style w:type="table" w:styleId="831" w:default="1">
    <w:name w:val="Normal Table"/>
    <w:uiPriority w:val="99"/>
    <w:semiHidden/>
    <w:unhideWhenUsed/>
    <w:tblPr>
      <w:tblInd w:w="0" w:type="dxa"/>
      <w:tblCellMar>
        <w:left w:w="108" w:type="dxa"/>
        <w:top w:w="0" w:type="dxa"/>
        <w:right w:w="108" w:type="dxa"/>
        <w:bottom w:w="0" w:type="dxa"/>
      </w:tblCellMar>
    </w:tblPr>
  </w:style>
  <w:style w:type="numbering" w:styleId="832" w:default="1">
    <w:name w:val="No List"/>
    <w:uiPriority w:val="99"/>
    <w:semiHidden/>
    <w:unhideWhenUsed/>
  </w:style>
  <w:style w:type="paragraph" w:styleId="833">
    <w:name w:val="Balloon Text"/>
    <w:basedOn w:val="829"/>
    <w:link w:val="834"/>
    <w:uiPriority w:val="99"/>
    <w:semiHidden/>
    <w:unhideWhenUsed/>
    <w:pPr>
      <w:spacing w:after="0" w:line="240" w:lineRule="auto"/>
    </w:pPr>
    <w:rPr>
      <w:rFonts w:ascii="Segoe UI" w:hAnsi="Segoe UI" w:cs="Segoe UI"/>
      <w:sz w:val="18"/>
      <w:szCs w:val="18"/>
    </w:rPr>
  </w:style>
  <w:style w:type="character" w:styleId="834" w:customStyle="1">
    <w:name w:val="Текст выноски Знак"/>
    <w:basedOn w:val="830"/>
    <w:link w:val="833"/>
    <w:uiPriority w:val="99"/>
    <w:semiHidden/>
    <w:rPr>
      <w:rFonts w:ascii="Segoe UI" w:hAnsi="Segoe UI" w:cs="Segoe UI"/>
      <w:sz w:val="18"/>
      <w:szCs w:val="18"/>
    </w:rPr>
  </w:style>
  <w:style w:type="character" w:styleId="835">
    <w:name w:val="Hyperlink"/>
    <w:basedOn w:val="830"/>
    <w:uiPriority w:val="99"/>
    <w:unhideWhenUsed/>
    <w:rPr>
      <w:color w:val="0563c1" w:themeColor="hyperlink"/>
      <w:u w:val="single"/>
    </w:rPr>
  </w:style>
  <w:style w:type="paragraph" w:styleId="836">
    <w:name w:val="List Paragraph"/>
    <w:basedOn w:val="829"/>
    <w:uiPriority w:val="34"/>
    <w:qFormat/>
    <w:pPr>
      <w:contextualSpacing/>
      <w:ind w:left="720"/>
    </w:pPr>
  </w:style>
  <w:style w:type="table" w:styleId="837">
    <w:name w:val="Table Grid"/>
    <w:basedOn w:val="831"/>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38" w:customStyle="1">
    <w:name w:val="object"/>
    <w:basedOn w:val="830"/>
  </w:style>
  <w:style w:type="paragraph" w:styleId="839">
    <w:name w:val="Normal (Web)"/>
    <w:basedOn w:val="829"/>
    <w:uiPriority w:val="99"/>
    <w:unhideWhenUsed/>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840">
    <w:name w:val="Emphasis"/>
    <w:basedOn w:val="830"/>
    <w:uiPriority w:val="20"/>
    <w:qFormat/>
    <w:rPr>
      <w:i/>
      <w:iCs/>
    </w:rPr>
  </w:style>
  <w:style w:type="paragraph" w:styleId="841">
    <w:name w:val="Header"/>
    <w:basedOn w:val="829"/>
    <w:link w:val="842"/>
    <w:uiPriority w:val="99"/>
    <w:unhideWhenUsed/>
    <w:pPr>
      <w:spacing w:after="0" w:line="240" w:lineRule="auto"/>
      <w:tabs>
        <w:tab w:val="center" w:pos="4677" w:leader="none"/>
        <w:tab w:val="right" w:pos="9355" w:leader="none"/>
      </w:tabs>
    </w:pPr>
  </w:style>
  <w:style w:type="character" w:styleId="842" w:customStyle="1">
    <w:name w:val="Верхний колонтитул Знак"/>
    <w:basedOn w:val="830"/>
    <w:link w:val="841"/>
    <w:uiPriority w:val="99"/>
  </w:style>
  <w:style w:type="paragraph" w:styleId="843">
    <w:name w:val="Footer"/>
    <w:basedOn w:val="829"/>
    <w:link w:val="844"/>
    <w:uiPriority w:val="99"/>
    <w:unhideWhenUsed/>
    <w:pPr>
      <w:spacing w:after="0" w:line="240" w:lineRule="auto"/>
      <w:tabs>
        <w:tab w:val="center" w:pos="4677" w:leader="none"/>
        <w:tab w:val="right" w:pos="9355" w:leader="none"/>
      </w:tabs>
    </w:pPr>
  </w:style>
  <w:style w:type="character" w:styleId="844" w:customStyle="1">
    <w:name w:val="Нижний колонтитул Знак"/>
    <w:basedOn w:val="830"/>
    <w:link w:val="843"/>
    <w:uiPriority w:val="99"/>
  </w:style>
  <w:style w:type="paragraph" w:styleId="845">
    <w:name w:val="Body Text"/>
    <w:basedOn w:val="829"/>
    <w:link w:val="847"/>
    <w:pPr>
      <w:ind w:firstLine="851"/>
      <w:jc w:val="both"/>
      <w:spacing w:after="0" w:line="240" w:lineRule="auto"/>
      <w:widowControl w:val="off"/>
    </w:pPr>
    <w:rPr>
      <w:rFonts w:ascii="Arial" w:hAnsi="Arial" w:eastAsia="Times New Roman" w:cs="Arial"/>
      <w:sz w:val="24"/>
      <w:szCs w:val="20"/>
      <w:lang w:eastAsia="ru-RU"/>
    </w:rPr>
  </w:style>
  <w:style w:type="character" w:styleId="846" w:customStyle="1">
    <w:name w:val="Основной текст Знак"/>
    <w:basedOn w:val="830"/>
    <w:uiPriority w:val="99"/>
    <w:semiHidden/>
  </w:style>
  <w:style w:type="character" w:styleId="847" w:customStyle="1">
    <w:name w:val="Основной текст Знак1"/>
    <w:basedOn w:val="830"/>
    <w:link w:val="845"/>
    <w:rPr>
      <w:rFonts w:ascii="Arial" w:hAnsi="Arial" w:eastAsia="Times New Roman" w:cs="Arial"/>
      <w:sz w:val="24"/>
      <w:szCs w:val="20"/>
      <w:lang w:eastAsia="ru-RU"/>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Гоманенко Галина Васильевна</dc:creator>
  <cp:keywords>Единый ресурс о земле и недвижимости</cp:keywords>
  <dc:description/>
  <cp:lastModifiedBy>zhilyaev</cp:lastModifiedBy>
  <cp:revision>52</cp:revision>
  <dcterms:created xsi:type="dcterms:W3CDTF">2022-09-29T02:49:00Z</dcterms:created>
  <dcterms:modified xsi:type="dcterms:W3CDTF">2026-07-24T02:44:55Z</dcterms:modified>
</cp:coreProperties>
</file>