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3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</w:rPr>
      </w:r>
      <w:r>
        <w:rPr>
          <w:rFonts w:ascii="PT Astra Sans" w:hAnsi="PT Astra Sans" w:cs="PT Astra Sans"/>
          <w:color w:val="202122"/>
          <w:sz w:val="26"/>
          <w:szCs w:val="26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2"/>
          <w:szCs w:val="22"/>
          <w:shd w:val="clear" w:color="auto" w:fill="ffffff"/>
        </w:rPr>
        <w:t xml:space="preserve">12 августа 2025 года</w:t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</w:p>
    <w:p>
      <w:pPr>
        <w:rPr>
          <w:rFonts w:ascii="PT Astra Serif" w:hAnsi="PT Astra Serif" w:cs="PT Astra Serif"/>
          <w:b/>
          <w:bCs/>
          <w:highlight w:val="none"/>
        </w:rPr>
      </w:pPr>
      <w:r>
        <w:rPr>
          <w:rFonts w:ascii="PT Astra Serif" w:hAnsi="PT Astra Serif" w:eastAsia="PT Astra Serif" w:cs="PT Astra Serif"/>
          <w:b/>
          <w:bCs/>
          <w:highlight w:val="none"/>
        </w:rPr>
      </w:r>
      <w:r>
        <w:rPr>
          <w:rFonts w:ascii="PT Astra Serif" w:hAnsi="PT Astra Serif" w:cs="PT Astra Serif"/>
          <w:b/>
          <w:bCs/>
          <w:highlight w:val="none"/>
        </w:rPr>
      </w:r>
      <w:r>
        <w:rPr>
          <w:rFonts w:ascii="PT Astra Serif" w:hAnsi="PT Astra Serif" w:cs="PT Astra Serif"/>
          <w:b/>
          <w:bCs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b/>
          <w:bCs/>
        </w:rPr>
        <w:suppressLineNumbers w:val="0"/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  <w:t xml:space="preserve">Как проверить комплексные кадастровые работы на своем участке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В Иркутской области проводятся комплексные кадастровые работы. Такие работы нужны для того, чтобы одномоментно определить и закрепить в реестре недвижимости границы большого количества объектов недвижимости. </w:t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Это, во-первых позволяет устранить пересечение участков, уточнить спорные границы, а во-вторых поможет жителям области сберечь деньги и время, ведь работы проводятся за счет бюджетных средств.</w:t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Напомним, что в 2025 году комплексные кадастровые работы проводятся в 98 кадастровых кварталах,  расположенных  на территориях  Иркутского, Шелеховского, Киренского, Нижнеудинского, Слюдянского, Заларинского, Зиминского, Нижнеилимского, Усть-Удинского, Алар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ского, Эхирит-Булагатского районов, Чунского муниципального округа и городов Свирск, Тулун.</w:t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Как рассказала заместитель руководителя Управления Росреестра по Иркутской области Лариса Михайловна Варфоломеева, владельцы участков на этих территориях получают уведомления о проведении согласительных комиссий по утверждению результатов таких работ.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  Это важные уведомления, которые помогут проконтролировать результаты измерений границ вашего участка. </w:t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28 августа 2025 года в 14:00 пройдет заседание согласительной комиссии по вопросу согласования местоположения границ земельных участков, расположенных на территории следующих кадастровых кварталов: 38:06:070701 (Оекское МО, д. Мишонкова); 38:06:070802 (Оекс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кое МО, д. Жердовка); 38:06:070801 (Оекское МО, д. Жердовка); 38:06:071001 (Оекское МО, д. Максимовщина); 38:06:010912 (Марковское МО, р.п. Маркова); 38:06:140709 (Молодежное МО, п. Молодежный). </w:t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До этой даты можно подать в комиссию свои возражения относительно местоположения границ земельных участков. Ознакомиться с извещениями о проведении заседания согласительной комиссии, содержащими в том числе правила подачи возражений, можно на официальном са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йте Росреестра (https://rosreestr.gov.ru/open-service/statistika-i-analitika/kompleks-kadastr-rabot38/2025/), а также на официальном сайте Администрации Иркутского районного муниципального образования.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bCs/>
          <w:i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426" w:right="849" w:bottom="11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Balloon Text"/>
    <w:basedOn w:val="835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6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Hyperlink"/>
    <w:basedOn w:val="836"/>
    <w:uiPriority w:val="99"/>
    <w:unhideWhenUsed/>
    <w:rPr>
      <w:color w:val="0563c1" w:themeColor="hyperlink"/>
      <w:u w:val="single"/>
    </w:rPr>
  </w:style>
  <w:style w:type="paragraph" w:styleId="842">
    <w:name w:val="List Paragraph"/>
    <w:basedOn w:val="835"/>
    <w:uiPriority w:val="34"/>
    <w:qFormat/>
    <w:pPr>
      <w:contextualSpacing/>
      <w:ind w:left="720"/>
    </w:pPr>
  </w:style>
  <w:style w:type="table" w:styleId="843">
    <w:name w:val="Table Grid"/>
    <w:basedOn w:val="83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4" w:customStyle="1">
    <w:name w:val="object"/>
    <w:basedOn w:val="836"/>
  </w:style>
  <w:style w:type="paragraph" w:styleId="845">
    <w:name w:val="Normal (Web)"/>
    <w:basedOn w:val="8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>
    <w:name w:val="Strong"/>
    <w:basedOn w:val="836"/>
    <w:uiPriority w:val="22"/>
    <w:qFormat/>
    <w:rPr>
      <w:b/>
      <w:bCs/>
    </w:rPr>
  </w:style>
  <w:style w:type="character" w:styleId="847">
    <w:name w:val="Emphasis"/>
    <w:basedOn w:val="83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49</cp:revision>
  <dcterms:created xsi:type="dcterms:W3CDTF">2024-02-13T03:39:00Z</dcterms:created>
  <dcterms:modified xsi:type="dcterms:W3CDTF">2025-08-11T00:44:53Z</dcterms:modified>
</cp:coreProperties>
</file>