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9"/>
        <w:tblW w:w="100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56"/>
        <w:gridCol w:w="5409"/>
      </w:tblGrid>
      <w:tr>
        <w:tblPrEx/>
        <w:trPr>
          <w:trHeight w:val="994"/>
        </w:trPr>
        <w:tc>
          <w:tcPr>
            <w:tcW w:w="4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811591" cy="1190625"/>
                      <wp:effectExtent l="0" t="0" r="8255" b="0"/>
                      <wp:docPr id="1" name="Рисунок 1" descr="C:\Users\gomanenko_gv\Desktop\герб длинны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gomanenko_gv\Desktop\герб длинный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91070" cy="12242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21.39pt;height:93.7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559" w:type="dxa"/>
            <w:textDirection w:val="lrTb"/>
            <w:noWrap w:val="false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jc w:val="right"/>
              <w:rPr>
                <w:rFonts w:ascii="Inter V" w:hAnsi="Inter V" w:cs="Times New Roman"/>
                <w:b/>
              </w:rPr>
            </w:pP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</w:p>
        </w:tc>
      </w:tr>
    </w:tbl>
    <w:p>
      <w:pPr>
        <w:jc w:val="right"/>
        <w:spacing w:line="240" w:lineRule="auto"/>
        <w:tabs>
          <w:tab w:val="left" w:pos="567" w:leader="none"/>
        </w:tabs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pPr>
      <w:r>
        <w:rPr>
          <w:rFonts w:ascii="PT Astra Sans" w:hAnsi="PT Astra Sans" w:eastAsia="PT Astra Sans" w:cs="PT Astra Sans"/>
          <w:color w:val="202122"/>
          <w:sz w:val="26"/>
          <w:szCs w:val="26"/>
          <w:shd w:val="clear" w:color="auto" w:fill="ffffff"/>
        </w:rPr>
        <w:t xml:space="preserve">31 января 2025 года</w:t>
      </w:r>
      <w:r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r>
      <w:r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r>
    </w:p>
    <w:p>
      <w:pPr>
        <w:rPr>
          <w:rFonts w:ascii="PT Astra Sans" w:hAnsi="PT Astra Sans" w:cs="PT Astra Sans"/>
          <w:sz w:val="22"/>
          <w:szCs w:val="22"/>
        </w:rPr>
      </w:pPr>
      <w:r>
        <w:rPr>
          <w:rFonts w:ascii="PT Astra Sans" w:hAnsi="PT Astra Sans" w:eastAsia="PT Astra Sans" w:cs="PT Astra Sans"/>
          <w:sz w:val="22"/>
          <w:szCs w:val="22"/>
        </w:rPr>
      </w:r>
      <w:r>
        <w:rPr>
          <w:rFonts w:ascii="PT Astra Sans" w:hAnsi="PT Astra Sans" w:cs="PT Astra Sans"/>
          <w:sz w:val="22"/>
          <w:szCs w:val="22"/>
        </w:rPr>
      </w:r>
      <w:r>
        <w:rPr>
          <w:rFonts w:ascii="PT Astra Sans" w:hAnsi="PT Astra Sans" w:cs="PT Astra Sans"/>
          <w:sz w:val="22"/>
          <w:szCs w:val="22"/>
        </w:rPr>
      </w:r>
    </w:p>
    <w:p>
      <w:pPr>
        <w:ind w:left="0" w:right="0" w:firstLine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  <w:highlight w:val="none"/>
        </w:rPr>
        <w:t xml:space="preserve">Осталось проверить менее 7 % «бесправных» объектов недвижимости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cs="PT Astra Serif"/>
          <w:sz w:val="24"/>
          <w:szCs w:val="24"/>
        </w:rPr>
        <w:t xml:space="preserve">Как известно, Иркутская область является пилотным регионом, участвующим в создании цифровой платформы «Национальная система пространственных данных» (НСПД).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ind w:left="0" w:right="0" w:firstLine="0"/>
      </w:pPr>
      <w:r>
        <w:rPr>
          <w:rFonts w:ascii="PT Astra Serif" w:hAnsi="PT Astra Serif" w:cs="PT Astra Serif"/>
          <w:sz w:val="24"/>
          <w:szCs w:val="24"/>
        </w:rPr>
        <w:t xml:space="preserve">Н</w:t>
      </w:r>
      <w:r>
        <w:rPr>
          <w:rFonts w:ascii="PT Astra Serif" w:hAnsi="PT Astra Serif" w:cs="PT Astra Serif"/>
          <w:sz w:val="24"/>
          <w:szCs w:val="24"/>
        </w:rPr>
        <w:t xml:space="preserve">СПД - это общероссийская государственная платформа, которая предоставляет всем желающим бесплатный доступ к сведениям из различных баз данных, от разных органов власти, объединенных в одном месте. Например, в НСПД можно увидеть сведения об объектах недвижи</w:t>
      </w:r>
      <w:r>
        <w:rPr>
          <w:rFonts w:ascii="PT Astra Serif" w:hAnsi="PT Astra Serif" w:cs="PT Astra Serif"/>
          <w:sz w:val="24"/>
          <w:szCs w:val="24"/>
        </w:rPr>
        <w:t xml:space="preserve">мости, границах муниципальных образований, различных зон и территорий с особыми условиями использования и т.д.  НСПД доступна по ссылке: https://nspd.gov.ru/</w:t>
      </w:r>
      <w:r>
        <w:rPr>
          <w:rFonts w:ascii="PT Astra Serif" w:hAnsi="PT Astra Serif" w:cs="PT Astra Serif"/>
          <w:sz w:val="24"/>
          <w:szCs w:val="24"/>
        </w:rPr>
      </w:r>
      <w:r/>
    </w:p>
    <w:p>
      <w:pPr>
        <w:ind w:left="0" w:right="0" w:firstLine="0"/>
      </w:pPr>
      <w:r>
        <w:rPr>
          <w:rFonts w:ascii="PT Astra Serif" w:hAnsi="PT Astra Serif" w:cs="PT Astra Serif"/>
          <w:sz w:val="24"/>
          <w:szCs w:val="24"/>
        </w:rPr>
        <w:t xml:space="preserve">Одно из направлений работы по внедрению НСПД – определение правообладателей ранее учтенных объектов недвижимости. Такая работа ведется Управлением Росреестра по Иркутской области совместно с местными администрациями с 2021 года.</w:t>
      </w:r>
      <w:r>
        <w:rPr>
          <w:rFonts w:ascii="PT Astra Serif" w:hAnsi="PT Astra Serif" w:cs="PT Astra Serif"/>
          <w:sz w:val="24"/>
          <w:szCs w:val="24"/>
        </w:rPr>
      </w:r>
      <w:r/>
    </w:p>
    <w:p>
      <w:pPr>
        <w:ind w:left="0" w:right="0" w:firstLine="0"/>
      </w:pPr>
      <w:r>
        <w:rPr>
          <w:rFonts w:ascii="PT Astra Serif" w:hAnsi="PT Astra Serif" w:cs="PT Astra Serif"/>
          <w:sz w:val="24"/>
          <w:szCs w:val="24"/>
        </w:rPr>
        <w:t xml:space="preserve">Речь идет о ранее учтенных объектах недвижимости, сведения о которых содержались в реестре недвижимости, но права на которые не были зарегистрированы в таком реестре.</w:t>
      </w:r>
      <w:r>
        <w:rPr>
          <w:rFonts w:ascii="PT Astra Serif" w:hAnsi="PT Astra Serif" w:cs="PT Astra Serif"/>
          <w:sz w:val="24"/>
          <w:szCs w:val="24"/>
        </w:rPr>
      </w:r>
      <w:r/>
    </w:p>
    <w:p>
      <w:pPr>
        <w:ind w:left="0" w:right="0" w:firstLine="0"/>
      </w:pPr>
      <w:r>
        <w:rPr>
          <w:rFonts w:ascii="PT Astra Serif" w:hAnsi="PT Astra Serif" w:cs="PT Astra Serif"/>
          <w:sz w:val="24"/>
          <w:szCs w:val="24"/>
        </w:rPr>
        <w:t xml:space="preserve">И</w:t>
      </w:r>
      <w:r>
        <w:rPr>
          <w:rFonts w:ascii="PT Astra Serif" w:hAnsi="PT Astra Serif" w:cs="PT Astra Serif"/>
          <w:sz w:val="24"/>
          <w:szCs w:val="24"/>
        </w:rPr>
        <w:t xml:space="preserve">з более чем 272 тысячи таких объектов на 01 января 2025 года зарегистрированы права на 56 149 объектов недвижимости, внесено в реестр сведений о выявленном правообладателе на 17 146 объектов, снято с государственного кадастрового учета 170 442 объекта, учт</w:t>
      </w:r>
      <w:r>
        <w:rPr>
          <w:rFonts w:ascii="PT Astra Serif" w:hAnsi="PT Astra Serif" w:cs="PT Astra Serif"/>
          <w:sz w:val="24"/>
          <w:szCs w:val="24"/>
        </w:rPr>
        <w:t xml:space="preserve">ено в качестве бесхозяйных 4 166 объектов.</w:t>
      </w:r>
      <w:r>
        <w:rPr>
          <w:rFonts w:ascii="PT Astra Serif" w:hAnsi="PT Astra Serif" w:cs="PT Astra Serif"/>
          <w:sz w:val="24"/>
          <w:szCs w:val="24"/>
        </w:rPr>
      </w:r>
      <w:r/>
    </w:p>
    <w:p>
      <w:pPr>
        <w:ind w:left="0" w:right="0" w:firstLine="0"/>
      </w:pPr>
      <w:r>
        <w:rPr>
          <w:rFonts w:ascii="PT Astra Serif" w:hAnsi="PT Astra Serif" w:cs="PT Astra Serif"/>
          <w:sz w:val="24"/>
          <w:szCs w:val="24"/>
        </w:rPr>
        <w:t xml:space="preserve">В целом на сегодня отработано более 93 % ранее учтенных объектов недвижимости Иркутской области.</w:t>
      </w:r>
      <w:r>
        <w:rPr>
          <w:rFonts w:ascii="PT Astra Serif" w:hAnsi="PT Astra Serif" w:cs="PT Astra Serif"/>
          <w:sz w:val="24"/>
          <w:szCs w:val="24"/>
        </w:rPr>
      </w:r>
      <w:r/>
    </w:p>
    <w:p>
      <w:pPr>
        <w:ind w:left="0" w:right="0" w:firstLine="0"/>
      </w:pPr>
      <w:r>
        <w:rPr>
          <w:rFonts w:ascii="PT Astra Serif" w:hAnsi="PT Astra Serif" w:cs="PT Astra Serif"/>
          <w:sz w:val="24"/>
          <w:szCs w:val="24"/>
        </w:rPr>
        <w:t xml:space="preserve">П</w:t>
      </w:r>
      <w:r>
        <w:rPr>
          <w:rFonts w:ascii="PT Astra Serif" w:hAnsi="PT Astra Serif" w:cs="PT Astra Serif"/>
          <w:sz w:val="24"/>
          <w:szCs w:val="24"/>
        </w:rPr>
        <w:t xml:space="preserve">о информации заместителя руководителя Управления Росреестра по Иркутской области Оксаны Викторовны Арсентьевой, на начало 2025 года полностью завершены мероприятия по выявлению правообладателей ранее учтенных объектов недвижимости, </w:t>
      </w:r>
      <w:r>
        <w:rPr>
          <w:rFonts w:ascii="PT Astra Serif" w:hAnsi="PT Astra Serif" w:cs="PT Astra Serif"/>
          <w:sz w:val="24"/>
          <w:szCs w:val="24"/>
        </w:rPr>
        <w:t xml:space="preserve">расположенных на территориях Осинского, Балаганского, Нукутского, Усть-Удинского и Слюдянского районов.  </w:t>
      </w:r>
      <w:r>
        <w:rPr>
          <w:rFonts w:ascii="PT Astra Serif" w:hAnsi="PT Astra Serif" w:cs="PT Astra Serif"/>
          <w:sz w:val="24"/>
          <w:szCs w:val="24"/>
        </w:rPr>
      </w:r>
      <w:r/>
    </w:p>
    <w:p>
      <w:pPr>
        <w:ind w:left="0" w:right="0" w:firstLine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Вопросы, связанные с регистрацией прав на недвижимость, можно задать по бесплатному справочному телефону Управления Росреестра по Иркутской области 8(3952) 450-150.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ans" w:hAnsi="PT Astra Sans" w:cs="PT Astra Sans"/>
          <w:bCs/>
          <w:i/>
          <w:sz w:val="22"/>
          <w:szCs w:val="22"/>
        </w:rPr>
      </w:pPr>
      <w:r>
        <w:rPr>
          <w:rFonts w:ascii="PT Astra Sans" w:hAnsi="PT Astra Sans" w:eastAsia="PT Astra Sans" w:cs="PT Astra Sans"/>
          <w:i/>
          <w:iCs/>
          <w:sz w:val="22"/>
          <w:szCs w:val="22"/>
          <w:highlight w:val="none"/>
        </w:rPr>
      </w:r>
      <w:r>
        <w:rPr>
          <w:rFonts w:ascii="PT Astra Sans" w:hAnsi="PT Astra Sans" w:cs="PT Astra Sans"/>
          <w:bCs/>
          <w:i/>
          <w:sz w:val="22"/>
          <w:szCs w:val="22"/>
        </w:rPr>
      </w:r>
      <w:r>
        <w:rPr>
          <w:rFonts w:ascii="PT Astra Sans" w:hAnsi="PT Astra Sans" w:cs="PT Astra Sans"/>
          <w:bCs/>
          <w:i/>
          <w:sz w:val="22"/>
          <w:szCs w:val="22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ans" w:hAnsi="PT Astra Sans" w:eastAsia="PT Astra Sans" w:cs="PT Astra Sans"/>
          <w:bCs/>
          <w:i/>
          <w:sz w:val="22"/>
          <w:szCs w:val="22"/>
          <w:highlight w:val="none"/>
        </w:rPr>
      </w:pPr>
      <w:r>
        <w:rPr>
          <w:rFonts w:ascii="PT Astra Sans" w:hAnsi="PT Astra Sans" w:eastAsia="PT Astra Sans" w:cs="PT Astra Sans"/>
          <w:i/>
          <w:iCs/>
          <w:sz w:val="22"/>
          <w:szCs w:val="22"/>
          <w:highlight w:val="none"/>
        </w:rPr>
        <w:t xml:space="preserve">Пресс-служба Управления Росреестра по Иркутской области</w:t>
      </w:r>
      <w:r>
        <w:rPr>
          <w:rFonts w:ascii="PT Astra Sans" w:hAnsi="PT Astra Sans" w:eastAsia="PT Astra Sans" w:cs="PT Astra Sans"/>
          <w:bCs/>
          <w:i/>
          <w:sz w:val="22"/>
          <w:szCs w:val="22"/>
          <w:highlight w:val="none"/>
        </w:rPr>
      </w:r>
      <w:r>
        <w:rPr>
          <w:rFonts w:ascii="PT Astra Sans" w:hAnsi="PT Astra Sans" w:eastAsia="PT Astra Sans" w:cs="PT Astra Sans"/>
          <w:bCs/>
          <w:i/>
          <w:sz w:val="22"/>
          <w:szCs w:val="22"/>
          <w:highlight w:val="none"/>
        </w:rPr>
      </w:r>
    </w:p>
    <w:sectPr>
      <w:footnotePr/>
      <w:endnotePr/>
      <w:type w:val="nextPage"/>
      <w:pgSz w:w="11906" w:h="16838" w:orient="portrait"/>
      <w:pgMar w:top="851" w:right="849" w:bottom="426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ans">
    <w:panose1 w:val="020B0603020203020204"/>
  </w:font>
  <w:font w:name="Times New Roman">
    <w:panose1 w:val="02020603050405020304"/>
  </w:font>
  <w:font w:name="Inter V">
    <w:panose1 w:val="02000603000000000000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1"/>
    <w:next w:val="831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2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1"/>
    <w:next w:val="831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2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2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2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2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2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2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2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1"/>
    <w:next w:val="831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2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1"/>
    <w:next w:val="831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2"/>
    <w:link w:val="675"/>
    <w:uiPriority w:val="10"/>
    <w:rPr>
      <w:sz w:val="48"/>
      <w:szCs w:val="48"/>
    </w:rPr>
  </w:style>
  <w:style w:type="paragraph" w:styleId="677">
    <w:name w:val="Subtitle"/>
    <w:basedOn w:val="831"/>
    <w:next w:val="831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2"/>
    <w:link w:val="677"/>
    <w:uiPriority w:val="11"/>
    <w:rPr>
      <w:sz w:val="24"/>
      <w:szCs w:val="24"/>
    </w:rPr>
  </w:style>
  <w:style w:type="paragraph" w:styleId="679">
    <w:name w:val="Quote"/>
    <w:basedOn w:val="831"/>
    <w:next w:val="831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1"/>
    <w:next w:val="831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1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2"/>
    <w:link w:val="683"/>
    <w:uiPriority w:val="99"/>
  </w:style>
  <w:style w:type="paragraph" w:styleId="685">
    <w:name w:val="Footer"/>
    <w:basedOn w:val="831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2"/>
    <w:link w:val="685"/>
    <w:uiPriority w:val="99"/>
  </w:style>
  <w:style w:type="paragraph" w:styleId="687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1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832"/>
    <w:link w:val="835"/>
    <w:uiPriority w:val="99"/>
    <w:semiHidden/>
    <w:rPr>
      <w:rFonts w:ascii="Segoe UI" w:hAnsi="Segoe UI" w:cs="Segoe UI"/>
      <w:sz w:val="18"/>
      <w:szCs w:val="18"/>
    </w:rPr>
  </w:style>
  <w:style w:type="character" w:styleId="837">
    <w:name w:val="Hyperlink"/>
    <w:basedOn w:val="832"/>
    <w:uiPriority w:val="99"/>
    <w:unhideWhenUsed/>
    <w:rPr>
      <w:color w:val="0563c1" w:themeColor="hyperlink"/>
      <w:u w:val="single"/>
    </w:rPr>
  </w:style>
  <w:style w:type="paragraph" w:styleId="838">
    <w:name w:val="List Paragraph"/>
    <w:basedOn w:val="831"/>
    <w:uiPriority w:val="34"/>
    <w:qFormat/>
    <w:pPr>
      <w:contextualSpacing/>
      <w:ind w:left="720"/>
    </w:pPr>
  </w:style>
  <w:style w:type="table" w:styleId="839">
    <w:name w:val="Table Grid"/>
    <w:basedOn w:val="8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0" w:customStyle="1">
    <w:name w:val="object"/>
    <w:basedOn w:val="832"/>
  </w:style>
  <w:style w:type="paragraph" w:styleId="841">
    <w:name w:val="Normal (Web)"/>
    <w:basedOn w:val="83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2">
    <w:name w:val="Strong"/>
    <w:basedOn w:val="832"/>
    <w:uiPriority w:val="22"/>
    <w:qFormat/>
    <w:rPr>
      <w:b/>
      <w:bCs/>
    </w:rPr>
  </w:style>
  <w:style w:type="character" w:styleId="843">
    <w:name w:val="Emphasis"/>
    <w:basedOn w:val="832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30731-50C2-48B4-ABE6-4C8323D0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23</cp:revision>
  <dcterms:created xsi:type="dcterms:W3CDTF">2024-02-13T03:39:00Z</dcterms:created>
  <dcterms:modified xsi:type="dcterms:W3CDTF">2025-01-30T06:09:51Z</dcterms:modified>
</cp:coreProperties>
</file>