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20 августа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spacing w:after="0" w:line="240" w:lineRule="auto"/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4"/>
          <w:szCs w:val="24"/>
        </w:rPr>
        <w:t xml:space="preserve">Как исправляются ошибки на дорожных указателях Иркутской области</w:t>
      </w:r>
      <w:r>
        <w:rPr>
          <w:rFonts w:ascii="Liberation Sans" w:hAnsi="Liberation Sans" w:eastAsia="Liberation Sans" w:cs="Liberation Sans"/>
          <w:b/>
          <w:bCs/>
          <w:sz w:val="24"/>
          <w:szCs w:val="24"/>
        </w:rPr>
      </w:r>
      <w:r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contextualSpacing/>
        <w:jc w:val="both"/>
        <w:rPr>
          <w:rFonts w:ascii="Liberation Sans" w:hAnsi="Liberation Sans" w:eastAsia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Наименования населенных пунктов и рек  являются частью истории и культуры региона, а на автодорогах их точное написание особенно важно для информирования водителей и навигации. В рамках надзорной деятельности с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пециалисты Управления Росреестра по Иркутской области</w:t>
      </w:r>
      <w:r/>
      <w:r>
        <w:rPr>
          <w:rFonts w:ascii="Liberation Sans" w:hAnsi="Liberation Sans" w:eastAsia="Liberation Sans" w:cs="Liberation Sans"/>
          <w:sz w:val="24"/>
          <w:szCs w:val="24"/>
        </w:rPr>
        <w:t xml:space="preserve"> осуществляют проверку употребления наименований географических объектов. 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При обнаружении ошибок специалистами выносятся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предостережения о недопустимости нарушений. 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  <w:t xml:space="preserve">Стоит отметить, что такая работа дает положительные результаты.</w:t>
      </w:r>
      <w:r>
        <w:rPr>
          <w:rFonts w:ascii="Liberation Sans" w:hAnsi="Liberation Sans" w:eastAsia="Liberation Sans" w:cs="Liberation Sans"/>
          <w:sz w:val="24"/>
          <w:szCs w:val="24"/>
        </w:rPr>
      </w:r>
      <w:r/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contextualSpacing/>
        <w:jc w:val="both"/>
        <w:rPr>
          <w:rFonts w:ascii="Liberation Sans" w:hAnsi="Liberation Sans" w:eastAsia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contextualSpacing/>
        <w:jc w:val="both"/>
        <w:rPr>
          <w:rFonts w:ascii="Liberation Sans" w:hAnsi="Liberation Sans" w:eastAsia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За 2023-2024 год  специалистами Управления Росреестра по Иркутской области было вынесено 7  предостережений о недопустимости нарушений установленных правил употребления наименований географических объектов.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Организациями, установившими дорожные знаки, все ошибки были исправлены.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  <w:t xml:space="preserve">За истекший период 2025 года  вынесено  уже 4 таких предостережения, связанных с употреблением искаженных наименований.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contextualSpacing/>
        <w:jc w:val="both"/>
        <w:rPr>
          <w:rFonts w:ascii="Liberation Sans" w:hAnsi="Liberation Sans" w:eastAsia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contextualSpacing/>
        <w:jc w:val="both"/>
        <w:rPr>
          <w:rFonts w:ascii="Liberation Sans" w:hAnsi="Liberation Sans" w:eastAsia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  <w:t xml:space="preserve">Среди исправленных ошибок – наименование реки, расположенной в  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  <w:t xml:space="preserve">Слюдянском районе, которая на дорожном указателе была ранее обозначена как 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  <w:t xml:space="preserve">река Мурино. Верное название реки – Хара-Мурин. Еще одна исправленная ошибка в Слюдянском районе также была связана с наименованием водного объекта. Вместо правильного названия реки  «Шонхайха», на дорожном указателе было использовано неверное  – «Шанхай».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  <w:t xml:space="preserve"> В Иркутском районе обнаружена ошибка в наименовании населенного пункта – заимка Вдовина сейчас на дорожном указателе обозначена как «Вдовино».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contextualSpacing/>
        <w:jc w:val="both"/>
        <w:rPr>
          <w:rFonts w:ascii="Liberation Sans" w:hAnsi="Liberation Sans" w:eastAsia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contextualSpacing/>
        <w:jc w:val="both"/>
        <w:rPr>
          <w:rFonts w:ascii="Liberation Sans" w:hAnsi="Liberation Sans" w:eastAsia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i/>
          <w:iCs/>
          <w:sz w:val="24"/>
          <w:szCs w:val="24"/>
          <w:highlight w:val="none"/>
        </w:rPr>
        <w:t xml:space="preserve">Согласно действующим правилам не допускается, к примеру, сокращение наименования. Если река называется «Большая Осиновка», значит и на указателе она должна быть написана именно так. Написание «Б.Осиновка» – будет являться ошибкой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  <w:t xml:space="preserve">», – поясняет начальник отдела геодезии, картографии, землеустройства и мониторинга земель Елена Владимировна Малитовская.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contextualSpacing/>
        <w:jc w:val="both"/>
        <w:rPr>
          <w:rFonts w:ascii="Liberation Sans" w:hAnsi="Liberation Sans" w:eastAsia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contextualSpacing/>
        <w:jc w:val="both"/>
        <w:rPr>
          <w:rFonts w:ascii="Liberation Sans" w:hAnsi="Liberation Sans" w:eastAsia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i/>
          <w:color w:val="292c2f"/>
          <w:sz w:val="24"/>
          <w:szCs w:val="24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41</cp:revision>
  <dcterms:created xsi:type="dcterms:W3CDTF">2024-02-13T03:39:00Z</dcterms:created>
  <dcterms:modified xsi:type="dcterms:W3CDTF">2025-08-20T02:14:39Z</dcterms:modified>
</cp:coreProperties>
</file>