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1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  <w:r>
              <w:rPr>
                <w:rFonts w:ascii="Arial" w:hAnsi="Arial" w:cs="Arial"/>
              </w:rPr>
              <w:t xml:space="preserve"> мая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2025</w:t>
            </w:r>
            <w:r>
              <w:rPr>
                <w:rFonts w:ascii="Arial" w:hAnsi="Arial" w:cs="Arial"/>
              </w:rPr>
              <w:t xml:space="preserve"> года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trHeight w:val="601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</w:rPr>
        <w:t xml:space="preserve">Озеро «Сердце»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</w:rPr>
        <w:t xml:space="preserve"> - объект туристского интереса в Иркутской области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/>
        <w:ind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 проект «Земля для туризма» включено озеро «Сердце»,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а земельные участки вблизи озера включены в перечень территорий, потенциально пригодных для туристской деятельн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ости</w:t>
      </w:r>
      <w:r/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Памятник природы 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озеро «Сердце» находится в Слюдянском районе и является одним из живописных природных объектов Иркутской области.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Красивое высокогорное озеро в форме сердца расположено на дне ледникового кратера. Добраться до него можно по дороге к вершине пика Черского, по юго-восточному гребню. К озеру ведет отдельная тропа, а длина его береговой линии составляет всего 700 метров.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keepLines w:val="0"/>
        <w:spacing w:line="276" w:lineRule="auto"/>
        <w:rPr>
          <w:rFonts w:ascii="Liberation Sans" w:hAnsi="Liberation Sans" w:eastAsia="Liberation Sans" w:cs="Liberation Sans"/>
          <w:color w:val="292c2f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292c2f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keepLines w:val="0"/>
        <w:spacing w:line="276" w:lineRule="auto"/>
        <w:rPr>
          <w:rFonts w:ascii="Liberation Sans" w:hAnsi="Liberation Sans" w:eastAsia="Liberation Sans" w:cs="Liberation Sans"/>
          <w:color w:val="292c2f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ак пояснила заместитель руководителя Управления Росреестра по Иркутской области Лариса Михайловна Варфоломеева, п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роект «Земля для туризма» открывает новые перспективы для развития туристической инфраструктуры региона.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Объекты туристского интереса выявляются для того, чтобы определить свободные земельные участки, на которых предприниматели и инвесторы могут вес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ти туристическую деятельность. Это помогает развивать туристическую сферу Иркутской области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292c2f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keepLines w:val="0"/>
        <w:spacing w:line="276" w:lineRule="auto"/>
        <w:rPr>
          <w:rFonts w:ascii="Liberation Sans" w:hAnsi="Liberation Sans" w:cs="Liberation Sans"/>
          <w:color w:val="000000" w:themeColor="text1"/>
          <w:sz w:val="24"/>
          <w:szCs w:val="24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keepLines w:val="0"/>
        <w:spacing w:line="276" w:lineRule="auto"/>
        <w:rPr>
          <w:rFonts w:ascii="Liberation Sans" w:hAnsi="Liberation Sans" w:eastAsia="Liberation Sans" w:cs="Liberation Sans"/>
          <w:color w:val="292c2f" w:themeColor="text1"/>
          <w:sz w:val="24"/>
          <w:szCs w:val="24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сегодняшний день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определено 15 объектов туристского интереса: озеро Байкал, Иркутское областное государственное учреждение культуры Архитектурно-этнографический музей «Тальцы»,  г. Байкальск, Гора Ёрд, Мраморный карьер, Гора Соболиная,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Теплые озера,  п. Большое Голоустное, Сухое озеро, скала Шаманка, Иркутское водохранилище, Пещера «Светлая»,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Бадарминский  разлом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скала Царские Ворота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 озеро «Сердце»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 а также 41 земельный участок и территории, расположенные вблизи объектов туристского интереса общей площадью 493,6 га.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292c2f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keepLines w:val="0"/>
        <w:spacing w:line="276" w:lineRule="auto"/>
        <w:rPr>
          <w:rFonts w:ascii="Liberation Sans" w:hAnsi="Liberation Sans" w:cs="Liberation Sans"/>
          <w:color w:val="000000" w:themeColor="text1"/>
          <w:sz w:val="24"/>
          <w:szCs w:val="24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line="276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Проект «Земля для туризма» реализуется в рамках государственной программы «Национальная система пространственных данных».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bCs/>
          <w:i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Cs/>
          <w:i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Cs/>
          <w:i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bCs/>
          <w:i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color w:val="000000" w:themeColor="text1"/>
          <w:sz w:val="24"/>
          <w:szCs w:val="24"/>
        </w:rPr>
        <w:t xml:space="preserve">В публикации использованы фотографии из открытых источников</w:t>
      </w:r>
      <w:r>
        <w:rPr>
          <w:rFonts w:ascii="Liberation Sans" w:hAnsi="Liberation Sans" w:cs="Liberation Sans"/>
          <w:i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bCs/>
          <w:i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i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i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/>
          <w:color w:val="000000" w:themeColor="text1"/>
          <w:sz w:val="24"/>
          <w:szCs w:val="24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i/>
          <w:color w:val="000000" w:themeColor="text1"/>
          <w:sz w:val="24"/>
          <w:szCs w:val="24"/>
        </w:rPr>
      </w:r>
      <w:r/>
    </w:p>
    <w:p>
      <w:pPr>
        <w:spacing w:line="240" w:lineRule="auto"/>
        <w:tabs>
          <w:tab w:val="left" w:pos="567" w:leader="none"/>
        </w:tabs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707" w:bottom="568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3"/>
    <w:next w:val="833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4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3"/>
    <w:next w:val="833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4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4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4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4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4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4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3"/>
    <w:next w:val="833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4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3"/>
    <w:next w:val="833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4"/>
    <w:link w:val="679"/>
    <w:uiPriority w:val="10"/>
    <w:rPr>
      <w:sz w:val="48"/>
      <w:szCs w:val="48"/>
    </w:rPr>
  </w:style>
  <w:style w:type="paragraph" w:styleId="681">
    <w:name w:val="Subtitle"/>
    <w:basedOn w:val="833"/>
    <w:next w:val="833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4"/>
    <w:link w:val="681"/>
    <w:uiPriority w:val="11"/>
    <w:rPr>
      <w:sz w:val="24"/>
      <w:szCs w:val="24"/>
    </w:rPr>
  </w:style>
  <w:style w:type="paragraph" w:styleId="683">
    <w:name w:val="Quote"/>
    <w:basedOn w:val="833"/>
    <w:next w:val="833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3"/>
    <w:next w:val="833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4"/>
    <w:link w:val="845"/>
    <w:uiPriority w:val="99"/>
  </w:style>
  <w:style w:type="character" w:styleId="688">
    <w:name w:val="Footer Char"/>
    <w:basedOn w:val="834"/>
    <w:link w:val="847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7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>
    <w:name w:val="Hyperlink"/>
    <w:basedOn w:val="834"/>
    <w:uiPriority w:val="99"/>
    <w:unhideWhenUsed/>
    <w:rPr>
      <w:color w:val="0563c1" w:themeColor="hyperlink"/>
      <w:u w:val="single"/>
    </w:rPr>
  </w:style>
  <w:style w:type="paragraph" w:styleId="840">
    <w:name w:val="List Paragraph"/>
    <w:basedOn w:val="833"/>
    <w:uiPriority w:val="34"/>
    <w:qFormat/>
    <w:pPr>
      <w:contextualSpacing/>
      <w:ind w:left="720"/>
    </w:pPr>
  </w:style>
  <w:style w:type="table" w:styleId="841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 w:customStyle="1">
    <w:name w:val="object"/>
    <w:basedOn w:val="834"/>
  </w:style>
  <w:style w:type="paragraph" w:styleId="843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>
    <w:name w:val="Emphasis"/>
    <w:basedOn w:val="834"/>
    <w:uiPriority w:val="20"/>
    <w:qFormat/>
    <w:rPr>
      <w:i/>
      <w:iCs/>
    </w:rPr>
  </w:style>
  <w:style w:type="paragraph" w:styleId="845">
    <w:name w:val="Header"/>
    <w:basedOn w:val="833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basedOn w:val="834"/>
    <w:link w:val="845"/>
    <w:uiPriority w:val="99"/>
  </w:style>
  <w:style w:type="paragraph" w:styleId="847">
    <w:name w:val="Footer"/>
    <w:basedOn w:val="833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34"/>
    <w:link w:val="847"/>
    <w:uiPriority w:val="99"/>
  </w:style>
  <w:style w:type="paragraph" w:styleId="849">
    <w:name w:val="Body Text"/>
    <w:basedOn w:val="833"/>
    <w:link w:val="851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50" w:customStyle="1">
    <w:name w:val="Основной текст Знак"/>
    <w:basedOn w:val="834"/>
    <w:uiPriority w:val="99"/>
    <w:semiHidden/>
  </w:style>
  <w:style w:type="character" w:styleId="851" w:customStyle="1">
    <w:name w:val="Основной текст Знак1"/>
    <w:basedOn w:val="834"/>
    <w:link w:val="849"/>
    <w:rPr>
      <w:rFonts w:ascii="Arial" w:hAnsi="Arial" w:eastAsia="Times New Roman" w:cs="Arial"/>
      <w:sz w:val="24"/>
      <w:szCs w:val="20"/>
      <w:lang w:eastAsia="ru-RU"/>
    </w:rPr>
  </w:style>
  <w:style w:type="paragraph" w:styleId="852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11</cp:revision>
  <dcterms:created xsi:type="dcterms:W3CDTF">2023-05-03T23:51:00Z</dcterms:created>
  <dcterms:modified xsi:type="dcterms:W3CDTF">2025-05-16T01:20:40Z</dcterms:modified>
</cp:coreProperties>
</file>