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9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9 декабря 2024 года</w:t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cs="PT Astra Sans"/>
          <w:b/>
          <w:color w:val="292c2f"/>
          <w:sz w:val="26"/>
          <w:szCs w:val="26"/>
        </w:rPr>
      </w:pPr>
      <w:r>
        <w:rPr>
          <w:rFonts w:ascii="PT Astra Sans" w:hAnsi="PT Astra Sans" w:eastAsia="PT Astra Sans" w:cs="PT Astra Sans"/>
          <w:b/>
          <w:color w:val="292c2f"/>
          <w:sz w:val="26"/>
          <w:szCs w:val="26"/>
        </w:rPr>
      </w:r>
      <w:r>
        <w:rPr>
          <w:rFonts w:ascii="PT Astra Sans" w:hAnsi="PT Astra Sans" w:cs="PT Astra Sans"/>
          <w:b/>
          <w:color w:val="292c2f"/>
          <w:sz w:val="26"/>
          <w:szCs w:val="26"/>
        </w:rPr>
      </w:r>
      <w:r>
        <w:rPr>
          <w:rFonts w:ascii="PT Astra Sans" w:hAnsi="PT Astra Sans" w:cs="PT Astra Sans"/>
          <w:b/>
          <w:color w:val="292c2f"/>
          <w:sz w:val="26"/>
          <w:szCs w:val="26"/>
        </w:rPr>
      </w:r>
    </w:p>
    <w:p>
      <w:pPr>
        <w:rPr>
          <w:rFonts w:ascii="PT Astra Sans" w:hAnsi="PT Astra Sans" w:cs="PT Astra Sans"/>
          <w:b/>
          <w:sz w:val="26"/>
          <w:szCs w:val="26"/>
        </w:rPr>
      </w:pPr>
      <w:r>
        <w:rPr>
          <w:rFonts w:ascii="PT Astra Sans" w:hAnsi="PT Astra Sans" w:eastAsia="PT Astra Sans" w:cs="PT Astra Sans"/>
          <w:b/>
          <w:sz w:val="26"/>
          <w:szCs w:val="26"/>
        </w:rPr>
        <w:t xml:space="preserve">Об обследовании</w:t>
      </w:r>
      <w:r>
        <w:rPr>
          <w:rFonts w:ascii="PT Astra Sans" w:hAnsi="PT Astra Sans" w:eastAsia="PT Astra Sans" w:cs="PT Astra Sans"/>
          <w:b/>
          <w:sz w:val="26"/>
          <w:szCs w:val="26"/>
        </w:rPr>
        <w:t xml:space="preserve"> пунктов государственной геодезической сети в 2024 году</w:t>
      </w:r>
      <w:r>
        <w:rPr>
          <w:rFonts w:ascii="PT Astra Sans" w:hAnsi="PT Astra Sans" w:cs="PT Astra Sans"/>
          <w:b/>
          <w:sz w:val="26"/>
          <w:szCs w:val="26"/>
        </w:rPr>
      </w:r>
      <w:r>
        <w:rPr>
          <w:rFonts w:ascii="PT Astra Sans" w:hAnsi="PT Astra Sans" w:cs="PT Astra Sans"/>
          <w:b/>
          <w:sz w:val="26"/>
          <w:szCs w:val="26"/>
        </w:rPr>
      </w:r>
    </w:p>
    <w:p>
      <w:pPr>
        <w:rPr>
          <w:rFonts w:ascii="PT Astra Sans" w:hAnsi="PT Astra Sans" w:cs="PT Astra Sans"/>
          <w:sz w:val="26"/>
          <w:szCs w:val="26"/>
        </w:rPr>
      </w:pPr>
      <w:r>
        <w:rPr>
          <w:rFonts w:ascii="PT Astra Sans" w:hAnsi="PT Astra Sans" w:eastAsia="PT Astra Sans" w:cs="PT Astra Sans"/>
          <w:sz w:val="26"/>
          <w:szCs w:val="26"/>
        </w:rPr>
      </w:r>
      <w:r>
        <w:rPr>
          <w:rFonts w:ascii="PT Astra Sans" w:hAnsi="PT Astra Sans" w:cs="PT Astra Sans"/>
          <w:sz w:val="26"/>
          <w:szCs w:val="26"/>
        </w:rPr>
      </w:r>
      <w:r>
        <w:rPr>
          <w:rFonts w:ascii="PT Astra Sans" w:hAnsi="PT Astra Sans" w:cs="PT Astra Sans"/>
          <w:sz w:val="26"/>
          <w:szCs w:val="26"/>
        </w:rPr>
      </w:r>
    </w:p>
    <w:p>
      <w:pPr>
        <w:ind w:left="0" w:right="0" w:firstLine="709"/>
        <w:jc w:val="both"/>
        <w:spacing w:line="240" w:lineRule="auto"/>
        <w:rPr>
          <w:rFonts w:ascii="PT Astra Sans" w:hAnsi="PT Astra Sans" w:eastAsia="PT Astra Sans" w:cs="PT Astra Sans"/>
          <w:sz w:val="26"/>
          <w:szCs w:val="26"/>
          <w:highlight w:val="none"/>
        </w:rPr>
      </w:pPr>
      <w:r>
        <w:rPr>
          <w:rFonts w:ascii="PT Astra Sans" w:hAnsi="PT Astra Sans" w:eastAsia="PT Astra Sans" w:cs="PT Astra Sans"/>
          <w:sz w:val="26"/>
          <w:szCs w:val="26"/>
        </w:rPr>
        <w:t xml:space="preserve">В 2024 году Управление </w:t>
      </w:r>
      <w:r>
        <w:rPr>
          <w:rFonts w:ascii="PT Astra Sans" w:hAnsi="PT Astra Sans" w:eastAsia="PT Astra Sans" w:cs="PT Astra Sans"/>
          <w:sz w:val="26"/>
          <w:szCs w:val="26"/>
        </w:rPr>
        <w:t xml:space="preserve">Росреестра</w:t>
      </w:r>
      <w:r>
        <w:rPr>
          <w:rFonts w:ascii="PT Astra Sans" w:hAnsi="PT Astra Sans" w:eastAsia="PT Astra Sans" w:cs="PT Astra Sans"/>
          <w:sz w:val="26"/>
          <w:szCs w:val="26"/>
        </w:rPr>
        <w:t xml:space="preserve"> по Иркутской области осуществляло обследование пунктов государственной геодезической, государственной нивелирной и государственной гравиметрической сетей, в том числе учет и обеспечение их</w:t>
      </w:r>
      <w:r>
        <w:rPr>
          <w:rFonts w:ascii="PT Astra Sans" w:hAnsi="PT Astra Sans" w:eastAsia="PT Astra Sans" w:cs="PT Astra Sans"/>
          <w:sz w:val="26"/>
          <w:szCs w:val="26"/>
        </w:rPr>
        <w:t xml:space="preserve"> сохранности. </w:t>
      </w:r>
      <w:r>
        <w:rPr>
          <w:rFonts w:ascii="PT Astra Sans" w:hAnsi="PT Astra Sans" w:eastAsia="PT Astra Sans" w:cs="PT Astra Sans"/>
          <w:sz w:val="26"/>
          <w:szCs w:val="26"/>
          <w:highlight w:val="none"/>
        </w:rPr>
      </w:r>
      <w:r>
        <w:rPr>
          <w:rFonts w:ascii="PT Astra Sans" w:hAnsi="PT Astra Sans" w:eastAsia="PT Astra Sans" w:cs="PT Astra Sans"/>
          <w:sz w:val="26"/>
          <w:szCs w:val="26"/>
          <w:highlight w:val="none"/>
        </w:rPr>
      </w:r>
      <w:r>
        <w:rPr>
          <w:rFonts w:ascii="PT Astra Sans" w:hAnsi="PT Astra Sans" w:eastAsia="PT Astra Sans" w:cs="PT Astra Sans"/>
          <w:sz w:val="26"/>
          <w:szCs w:val="26"/>
          <w:highlight w:val="none"/>
        </w:rPr>
      </w:r>
      <w:r>
        <w:rPr>
          <w:rFonts w:ascii="PT Astra Sans" w:hAnsi="PT Astra Sans" w:eastAsia="PT Astra Sans" w:cs="PT Astra Sans"/>
          <w:sz w:val="26"/>
          <w:szCs w:val="26"/>
          <w:highlight w:val="none"/>
        </w:rPr>
      </w:r>
      <w:r>
        <w:rPr>
          <w:rFonts w:ascii="PT Astra Sans" w:hAnsi="PT Astra Sans" w:cs="PT Astra Sans"/>
          <w:sz w:val="26"/>
          <w:szCs w:val="26"/>
          <w:highlight w:val="none"/>
        </w:rPr>
      </w:r>
      <w:r>
        <w:rPr>
          <w:rFonts w:ascii="PT Astra Sans" w:hAnsi="PT Astra Sans" w:eastAsia="PT Astra Sans" w:cs="PT Astra Sans"/>
          <w:sz w:val="26"/>
          <w:szCs w:val="26"/>
          <w:highlight w:val="none"/>
        </w:rPr>
      </w:r>
    </w:p>
    <w:p>
      <w:pPr>
        <w:ind w:left="0" w:right="0" w:firstLine="709"/>
        <w:jc w:val="both"/>
        <w:spacing w:line="240" w:lineRule="auto"/>
        <w:rPr>
          <w:rFonts w:ascii="PT Astra Sans" w:hAnsi="PT Astra Sans" w:cs="PT Astra Sans"/>
          <w:color w:val="auto"/>
          <w:sz w:val="26"/>
          <w:szCs w:val="26"/>
        </w:rPr>
      </w:pPr>
      <w:r>
        <w:rPr>
          <w:rFonts w:ascii="PT Astra Sans" w:hAnsi="PT Astra Sans" w:eastAsia="PT Astra Sans" w:cs="PT Astra Sans"/>
          <w:color w:val="auto"/>
          <w:sz w:val="26"/>
          <w:szCs w:val="26"/>
        </w:rPr>
        <w:t xml:space="preserve">Всего в текущем году</w:t>
      </w:r>
      <w:r>
        <w:rPr>
          <w:rFonts w:ascii="PT Astra Sans" w:hAnsi="PT Astra Sans" w:eastAsia="PT Astra Sans" w:cs="PT Astra Sans"/>
          <w:color w:val="auto"/>
          <w:sz w:val="26"/>
          <w:szCs w:val="26"/>
        </w:rPr>
        <w:t xml:space="preserve"> было обследовано 235 геодезических пунктов, из них 185 пунктов государственной геодезической сети, 49 пунктов государственной нивелирной сети и 1 пункт государственной гравиметрической сети</w:t>
      </w:r>
      <w:r>
        <w:rPr>
          <w:rFonts w:ascii="PT Astra Sans" w:hAnsi="PT Astra Sans" w:eastAsia="PT Astra Sans" w:cs="PT Astra Sans"/>
          <w:color w:val="auto"/>
          <w:sz w:val="26"/>
          <w:szCs w:val="26"/>
        </w:rPr>
        <w:t xml:space="preserve">. </w:t>
      </w:r>
      <w:r>
        <w:rPr>
          <w:rFonts w:ascii="PT Astra Sans" w:hAnsi="PT Astra Sans" w:cs="PT Astra Sans"/>
          <w:color w:val="auto"/>
          <w:sz w:val="26"/>
          <w:szCs w:val="26"/>
        </w:rPr>
      </w:r>
      <w:r>
        <w:rPr>
          <w:rFonts w:ascii="PT Astra Sans" w:hAnsi="PT Astra Sans" w:cs="PT Astra Sans"/>
          <w:color w:val="auto"/>
          <w:sz w:val="26"/>
          <w:szCs w:val="26"/>
        </w:rPr>
      </w:r>
    </w:p>
    <w:p>
      <w:pPr>
        <w:ind w:left="0" w:right="0" w:firstLine="709"/>
        <w:jc w:val="both"/>
        <w:spacing w:line="240" w:lineRule="auto"/>
        <w:rPr>
          <w:rFonts w:ascii="PT Astra Sans" w:hAnsi="PT Astra Sans" w:eastAsia="PT Astra Sans" w:cs="PT Astra Sans"/>
          <w:sz w:val="26"/>
          <w:szCs w:val="26"/>
          <w:highlight w:val="none"/>
          <w14:ligatures w14:val="none"/>
        </w:rPr>
      </w:pPr>
      <w:r>
        <w:rPr>
          <w:rFonts w:ascii="PT Astra Sans" w:hAnsi="PT Astra Sans" w:eastAsia="PT Astra Sans" w:cs="PT Astra Sans"/>
          <w:color w:val="auto"/>
          <w:sz w:val="26"/>
          <w:szCs w:val="26"/>
        </w:rPr>
        <w:t xml:space="preserve">В ходе обследования установлено, что из </w:t>
      </w:r>
      <w:r>
        <w:rPr>
          <w:rFonts w:ascii="PT Astra Sans" w:hAnsi="PT Astra Sans" w:eastAsia="PT Astra Sans" w:cs="PT Astra Sans"/>
          <w:color w:val="auto"/>
          <w:sz w:val="26"/>
          <w:szCs w:val="26"/>
        </w:rPr>
        <w:t xml:space="preserve">235 геодезических пунктов</w:t>
      </w:r>
      <w:r>
        <w:rPr>
          <w:rFonts w:ascii="PT Astra Sans" w:hAnsi="PT Astra Sans" w:eastAsia="PT Astra Sans" w:cs="PT Astra Sans"/>
          <w:color w:val="auto"/>
          <w:sz w:val="26"/>
          <w:szCs w:val="26"/>
        </w:rPr>
        <w:t xml:space="preserve"> сохранилось </w:t>
      </w:r>
      <w:r>
        <w:rPr>
          <w:rFonts w:ascii="PT Astra Sans" w:hAnsi="PT Astra Sans" w:eastAsia="PT Astra Sans" w:cs="PT Astra Sans"/>
          <w:color w:val="auto"/>
          <w:sz w:val="26"/>
          <w:szCs w:val="26"/>
        </w:rPr>
        <w:t xml:space="preserve">170 пунктов, 55</w:t>
      </w:r>
      <w:r>
        <w:rPr>
          <w:rFonts w:ascii="PT Astra Sans" w:hAnsi="PT Astra Sans" w:eastAsia="PT Astra Sans" w:cs="PT Astra Sans"/>
          <w:color w:val="auto"/>
          <w:sz w:val="26"/>
          <w:szCs w:val="26"/>
        </w:rPr>
        <w:t xml:space="preserve"> </w:t>
      </w:r>
      <w:r>
        <w:rPr>
          <w:rFonts w:ascii="PT Astra Sans" w:hAnsi="PT Astra Sans" w:eastAsia="PT Astra Sans" w:cs="PT Astra Sans"/>
          <w:color w:val="auto"/>
          <w:sz w:val="26"/>
          <w:szCs w:val="26"/>
        </w:rPr>
        <w:t xml:space="preserve">пунктов не найдены, 4 </w:t>
      </w:r>
      <w:r>
        <w:rPr>
          <w:rFonts w:ascii="PT Astra Sans" w:hAnsi="PT Astra Sans" w:eastAsia="PT Astra Sans" w:cs="PT Astra Sans"/>
          <w:color w:val="auto"/>
          <w:sz w:val="26"/>
          <w:szCs w:val="26"/>
          <w:shd w:val="clear" w:color="auto" w:fill="ffffff"/>
          <w:lang w:val="ru-RU" w:bidi="ru-RU"/>
        </w:rPr>
        <w:t xml:space="preserve"> пункта </w:t>
      </w:r>
      <w:r>
        <w:rPr>
          <w:rFonts w:ascii="PT Astra Sans" w:hAnsi="PT Astra Sans" w:eastAsia="PT Astra Sans" w:cs="PT Astra Sans"/>
          <w:color w:val="auto"/>
          <w:sz w:val="26"/>
          <w:szCs w:val="26"/>
          <w:shd w:val="clear" w:color="auto" w:fill="ffffff"/>
          <w:lang w:val="ru-RU" w:bidi="ru-RU"/>
        </w:rPr>
        <w:t xml:space="preserve">повреждены</w:t>
      </w:r>
      <w:r>
        <w:rPr>
          <w:rFonts w:ascii="PT Astra Sans" w:hAnsi="PT Astra Sans" w:eastAsia="PT Astra Sans" w:cs="PT Astra Sans"/>
          <w:color w:val="auto"/>
          <w:sz w:val="26"/>
          <w:szCs w:val="26"/>
        </w:rPr>
        <w:t xml:space="preserve">, 6 пунктов уничтожено.</w:t>
      </w:r>
      <w:r>
        <w:rPr>
          <w:rFonts w:ascii="PT Astra Sans" w:hAnsi="PT Astra Sans" w:eastAsia="PT Astra Sans" w:cs="PT Astra Sans"/>
          <w:color w:val="auto"/>
          <w:sz w:val="26"/>
          <w:szCs w:val="26"/>
        </w:rPr>
      </w:r>
      <w:r>
        <w:rPr>
          <w:rFonts w:ascii="PT Astra Sans" w:hAnsi="PT Astra Sans" w:eastAsia="PT Astra Sans" w:cs="PT Astra Sans"/>
          <w:sz w:val="26"/>
          <w:szCs w:val="26"/>
          <w:highlight w:val="none"/>
          <w14:ligatures w14:val="none"/>
        </w:rPr>
      </w:r>
      <w:r>
        <w:rPr>
          <w:rFonts w:ascii="PT Astra Sans" w:hAnsi="PT Astra Sans" w:eastAsia="PT Astra Sans" w:cs="PT Astra Sans"/>
          <w:sz w:val="26"/>
          <w:szCs w:val="26"/>
          <w:highlight w:val="none"/>
          <w14:ligatures w14:val="none"/>
        </w:rPr>
      </w:r>
      <w:r>
        <w:rPr>
          <w:rFonts w:ascii="PT Astra Sans" w:hAnsi="PT Astra Sans" w:eastAsia="PT Astra Sans" w:cs="PT Astra Sans"/>
          <w:sz w:val="26"/>
          <w:szCs w:val="26"/>
          <w:highlight w:val="none"/>
          <w14:ligatures w14:val="none"/>
        </w:rPr>
      </w:r>
      <w:r>
        <w:rPr>
          <w:rFonts w:ascii="PT Astra Sans" w:hAnsi="PT Astra Sans" w:cs="PT Astra Sans"/>
          <w:color w:val="auto"/>
          <w:sz w:val="26"/>
          <w:szCs w:val="26"/>
        </w:rPr>
      </w:r>
      <w:r>
        <w:rPr>
          <w:rFonts w:ascii="PT Astra Sans" w:hAnsi="PT Astra Sans" w:eastAsia="PT Astra Sans" w:cs="PT Astra Sans"/>
          <w:sz w:val="26"/>
          <w:szCs w:val="26"/>
          <w:highlight w:val="none"/>
          <w14:ligatures w14:val="none"/>
        </w:rPr>
      </w:r>
    </w:p>
    <w:p>
      <w:pPr>
        <w:ind w:left="0" w:right="0" w:firstLine="709"/>
        <w:jc w:val="both"/>
        <w:spacing w:line="240" w:lineRule="auto"/>
        <w:rPr>
          <w:rFonts w:ascii="PT Astra Sans" w:hAnsi="PT Astra Sans" w:eastAsia="PT Astra Sans" w:cs="PT Astra Sans"/>
          <w:sz w:val="26"/>
          <w:szCs w:val="26"/>
          <w:highlight w:val="none"/>
        </w:rPr>
      </w:pPr>
      <w:r>
        <w:rPr>
          <w:rFonts w:ascii="PT Astra Sans" w:hAnsi="PT Astra Sans" w:eastAsia="PT Astra Sans" w:cs="PT Astra Sans"/>
          <w:sz w:val="26"/>
          <w:szCs w:val="26"/>
        </w:rPr>
        <w:t xml:space="preserve"> Напоминаем, что геодезические пункты образуют единую </w:t>
      </w:r>
      <w:r>
        <w:rPr>
          <w:rFonts w:ascii="PT Astra Sans" w:hAnsi="PT Astra Sans" w:eastAsia="PT Astra Sans" w:cs="PT Astra Sans"/>
          <w:sz w:val="26"/>
          <w:szCs w:val="26"/>
        </w:rPr>
        <w:t xml:space="preserve">государственную геодезическую,  нивелирную и гравиметрические сети</w:t>
      </w:r>
      <w:r>
        <w:rPr>
          <w:rFonts w:ascii="PT Astra Sans" w:hAnsi="PT Astra Sans" w:eastAsia="PT Astra Sans" w:cs="PT Astra Sans"/>
          <w:sz w:val="26"/>
          <w:szCs w:val="26"/>
        </w:rPr>
        <w:t xml:space="preserve">, </w:t>
      </w:r>
      <w:r>
        <w:rPr>
          <w:rFonts w:ascii="PT Astra Sans" w:hAnsi="PT Astra Sans" w:eastAsia="PT Astra Sans" w:cs="PT Astra Sans"/>
          <w:sz w:val="26"/>
          <w:szCs w:val="26"/>
        </w:rPr>
        <w:t xml:space="preserve">относятся к федеральной собственности, находятся под охраной государства и рассчитаны на использование в течение длительного времени.</w:t>
      </w:r>
      <w:r>
        <w:rPr>
          <w:rFonts w:ascii="PT Astra Sans" w:hAnsi="PT Astra Sans" w:eastAsia="PT Astra Sans" w:cs="PT Astra Sans"/>
          <w:sz w:val="26"/>
          <w:szCs w:val="26"/>
        </w:rPr>
        <w:t xml:space="preserve"> </w:t>
      </w:r>
      <w:r>
        <w:rPr>
          <w:rFonts w:ascii="PT Astra Sans" w:hAnsi="PT Astra Sans" w:eastAsia="PT Astra Sans" w:cs="PT Astra Sans"/>
          <w:sz w:val="26"/>
          <w:szCs w:val="26"/>
          <w:highlight w:val="none"/>
        </w:rPr>
      </w:r>
      <w:r>
        <w:rPr>
          <w:rFonts w:ascii="PT Astra Sans" w:hAnsi="PT Astra Sans" w:eastAsia="PT Astra Sans" w:cs="PT Astra Sans"/>
          <w:sz w:val="26"/>
          <w:szCs w:val="26"/>
          <w:highlight w:val="none"/>
        </w:rPr>
      </w:r>
      <w:r>
        <w:rPr>
          <w:rFonts w:ascii="PT Astra Sans" w:hAnsi="PT Astra Sans" w:eastAsia="PT Astra Sans" w:cs="PT Astra Sans"/>
          <w:sz w:val="26"/>
          <w:szCs w:val="26"/>
          <w:highlight w:val="none"/>
        </w:rPr>
      </w:r>
      <w:r>
        <w:rPr>
          <w:rFonts w:ascii="PT Astra Sans" w:hAnsi="PT Astra Sans" w:eastAsia="PT Astra Sans" w:cs="PT Astra Sans"/>
          <w:sz w:val="26"/>
          <w:szCs w:val="26"/>
          <w:highlight w:val="none"/>
        </w:rPr>
      </w:r>
      <w:r>
        <w:rPr>
          <w:rFonts w:ascii="PT Astra Sans" w:hAnsi="PT Astra Sans" w:cs="PT Astra Sans"/>
          <w:sz w:val="26"/>
          <w:szCs w:val="26"/>
          <w:highlight w:val="none"/>
        </w:rPr>
      </w:r>
      <w:r>
        <w:rPr>
          <w:rFonts w:ascii="PT Astra Sans" w:hAnsi="PT Astra Sans" w:eastAsia="PT Astra Sans" w:cs="PT Astra Sans"/>
          <w:sz w:val="26"/>
          <w:szCs w:val="26"/>
          <w:highlight w:val="none"/>
        </w:rPr>
      </w:r>
    </w:p>
    <w:p>
      <w:pPr>
        <w:ind w:left="0" w:right="0" w:firstLine="709"/>
        <w:jc w:val="both"/>
        <w:spacing w:line="240" w:lineRule="auto"/>
        <w:rPr>
          <w:rFonts w:ascii="PT Astra Sans" w:hAnsi="PT Astra Sans" w:eastAsia="PT Astra Sans" w:cs="PT Astra Sans"/>
          <w:sz w:val="26"/>
          <w:szCs w:val="26"/>
          <w:highlight w:val="none"/>
        </w:rPr>
      </w:pPr>
      <w:r>
        <w:rPr>
          <w:rFonts w:ascii="PT Astra Sans" w:hAnsi="PT Astra Sans" w:eastAsia="PT Astra Sans" w:cs="PT Astra Sans"/>
          <w:sz w:val="26"/>
          <w:szCs w:val="26"/>
        </w:rPr>
      </w:r>
      <w:r>
        <w:rPr>
          <w:rFonts w:ascii="PT Astra Sans" w:hAnsi="PT Astra Sans" w:eastAsia="PT Astra Sans" w:cs="PT Astra Sans"/>
          <w:sz w:val="26"/>
          <w:szCs w:val="26"/>
        </w:rPr>
        <w:t xml:space="preserve">Обеспечение  сохранности</w:t>
      </w:r>
      <w:r>
        <w:rPr>
          <w:rFonts w:ascii="PT Astra Sans" w:hAnsi="PT Astra Sans" w:eastAsia="PT Astra Sans" w:cs="PT Astra Sans"/>
          <w:sz w:val="26"/>
          <w:szCs w:val="26"/>
        </w:rPr>
        <w:t xml:space="preserve"> пунктов, являющихся геодезической </w:t>
      </w:r>
      <w:r>
        <w:rPr>
          <w:rFonts w:ascii="PT Astra Sans" w:hAnsi="PT Astra Sans" w:eastAsia="PT Astra Sans" w:cs="PT Astra Sans"/>
          <w:sz w:val="26"/>
          <w:szCs w:val="26"/>
        </w:rPr>
        <w:t xml:space="preserve">основой Единого государственн</w:t>
      </w:r>
      <w:r>
        <w:rPr>
          <w:rFonts w:ascii="PT Astra Sans" w:hAnsi="PT Astra Sans" w:eastAsia="PT Astra Sans" w:cs="PT Astra Sans"/>
          <w:sz w:val="26"/>
          <w:szCs w:val="26"/>
        </w:rPr>
        <w:t xml:space="preserve">ого реестра недвижимости, необходимых</w:t>
      </w:r>
      <w:r>
        <w:rPr>
          <w:rFonts w:ascii="PT Astra Sans" w:hAnsi="PT Astra Sans" w:eastAsia="PT Astra Sans" w:cs="PT Astra Sans"/>
          <w:sz w:val="26"/>
          <w:szCs w:val="26"/>
        </w:rPr>
        <w:t xml:space="preserve"> для в</w:t>
      </w:r>
      <w:r>
        <w:rPr>
          <w:rFonts w:ascii="PT Astra Sans" w:hAnsi="PT Astra Sans" w:eastAsia="PT Astra Sans" w:cs="PT Astra Sans"/>
          <w:sz w:val="26"/>
          <w:szCs w:val="26"/>
        </w:rPr>
        <w:t xml:space="preserve">ыполнения геодезических и картографических работ при осуществлении градостроительной и кадастровой деятельности, землеустройства, недропользования, иной деятельности</w:t>
      </w:r>
      <w:r>
        <w:rPr>
          <w:rFonts w:ascii="PT Astra Sans" w:hAnsi="PT Astra Sans" w:eastAsia="PT Astra Sans" w:cs="PT Astra Sans"/>
          <w:sz w:val="26"/>
          <w:szCs w:val="26"/>
        </w:rPr>
        <w:t xml:space="preserve">, </w:t>
      </w:r>
      <w:r>
        <w:rPr>
          <w:rFonts w:ascii="PT Astra Sans" w:hAnsi="PT Astra Sans" w:eastAsia="PT Astra Sans" w:cs="PT Astra Sans"/>
          <w:sz w:val="26"/>
          <w:szCs w:val="26"/>
        </w:rPr>
        <w:t xml:space="preserve">имеет важное значение для </w:t>
      </w:r>
      <w:r>
        <w:rPr>
          <w:rFonts w:ascii="PT Astra Sans" w:hAnsi="PT Astra Sans" w:eastAsia="PT Astra Sans" w:cs="PT Astra Sans"/>
          <w:sz w:val="26"/>
          <w:szCs w:val="26"/>
        </w:rPr>
        <w:t xml:space="preserve"> решения общегосударственных, оборонных, научно–исследовательских задач</w:t>
      </w:r>
      <w:r>
        <w:rPr>
          <w:rFonts w:ascii="PT Astra Sans" w:hAnsi="PT Astra Sans" w:eastAsia="PT Astra Sans" w:cs="PT Astra Sans"/>
          <w:sz w:val="26"/>
          <w:szCs w:val="26"/>
        </w:rPr>
        <w:t xml:space="preserve">.</w:t>
      </w:r>
      <w:r>
        <w:rPr>
          <w:rFonts w:ascii="PT Astra Sans" w:hAnsi="PT Astra Sans" w:eastAsia="PT Astra Sans" w:cs="PT Astra Sans"/>
          <w:sz w:val="26"/>
          <w:szCs w:val="26"/>
          <w:highlight w:val="none"/>
        </w:rPr>
      </w:r>
      <w:r>
        <w:rPr>
          <w:rFonts w:ascii="PT Astra Sans" w:hAnsi="PT Astra Sans" w:eastAsia="PT Astra Sans" w:cs="PT Astra Sans"/>
          <w:sz w:val="26"/>
          <w:szCs w:val="26"/>
          <w:highlight w:val="none"/>
        </w:rPr>
      </w:r>
      <w:r>
        <w:rPr>
          <w:rFonts w:ascii="PT Astra Sans" w:hAnsi="PT Astra Sans" w:eastAsia="PT Astra Sans" w:cs="PT Astra Sans"/>
          <w:sz w:val="26"/>
          <w:szCs w:val="26"/>
          <w:highlight w:val="none"/>
        </w:rPr>
      </w:r>
      <w:r>
        <w:rPr>
          <w:rFonts w:ascii="PT Astra Sans" w:hAnsi="PT Astra Sans" w:eastAsia="PT Astra Sans" w:cs="PT Astra Sans"/>
          <w:sz w:val="26"/>
          <w:szCs w:val="26"/>
          <w:highlight w:val="none"/>
        </w:rPr>
      </w:r>
      <w:r>
        <w:rPr>
          <w:rFonts w:ascii="PT Astra Sans" w:hAnsi="PT Astra Sans" w:cs="PT Astra Sans"/>
          <w:sz w:val="26"/>
          <w:szCs w:val="26"/>
        </w:rPr>
      </w:r>
      <w:r>
        <w:rPr>
          <w:rFonts w:ascii="PT Astra Sans" w:hAnsi="PT Astra Sans" w:eastAsia="PT Astra Sans" w:cs="PT Astra Sans"/>
          <w:sz w:val="26"/>
          <w:szCs w:val="26"/>
          <w:highlight w:val="none"/>
        </w:rPr>
      </w:r>
    </w:p>
    <w:p>
      <w:pPr>
        <w:ind w:left="0" w:right="0" w:firstLine="709"/>
        <w:jc w:val="both"/>
        <w:spacing w:line="240" w:lineRule="auto"/>
        <w:rPr>
          <w:rFonts w:ascii="PT Astra Sans" w:hAnsi="PT Astra Sans" w:cs="PT Astra Sans"/>
          <w:color w:val="auto"/>
          <w:sz w:val="26"/>
          <w:szCs w:val="26"/>
          <w:highlight w:val="none"/>
        </w:rPr>
      </w:pPr>
      <w:r>
        <w:rPr>
          <w:rFonts w:ascii="PT Astra Sans" w:hAnsi="PT Astra Sans" w:eastAsia="PT Astra Sans" w:cs="PT Astra Sans"/>
          <w:color w:val="auto"/>
          <w:sz w:val="26"/>
          <w:szCs w:val="26"/>
        </w:rPr>
        <w:t xml:space="preserve">У</w:t>
      </w:r>
      <w:r>
        <w:rPr>
          <w:rFonts w:ascii="PT Astra Sans" w:hAnsi="PT Astra Sans" w:eastAsia="PT Astra Sans" w:cs="PT Astra Sans"/>
          <w:color w:val="auto"/>
          <w:sz w:val="26"/>
          <w:szCs w:val="26"/>
        </w:rPr>
        <w:t xml:space="preserve">ничтожение, повреждение</w:t>
      </w:r>
      <w:r>
        <w:rPr>
          <w:rFonts w:ascii="PT Astra Sans" w:hAnsi="PT Astra Sans" w:eastAsia="PT Astra Sans" w:cs="PT Astra Sans"/>
          <w:color w:val="auto"/>
          <w:spacing w:val="0"/>
          <w:sz w:val="26"/>
          <w:szCs w:val="26"/>
          <w:lang w:eastAsia="ru-RU"/>
        </w:rPr>
        <w:t xml:space="preserve"> или снос</w:t>
      </w:r>
      <w:r>
        <w:rPr>
          <w:rFonts w:ascii="PT Astra Sans" w:hAnsi="PT Astra Sans" w:eastAsia="PT Astra Sans" w:cs="PT Astra Sans"/>
          <w:color w:val="auto"/>
          <w:sz w:val="26"/>
          <w:szCs w:val="26"/>
        </w:rPr>
        <w:t xml:space="preserve"> геодезических пунктов государственных сетей</w:t>
      </w:r>
      <w:r>
        <w:rPr>
          <w:rFonts w:ascii="PT Astra Sans" w:hAnsi="PT Astra Sans" w:eastAsia="PT Astra Sans" w:cs="PT Astra Sans"/>
          <w:color w:val="auto"/>
          <w:sz w:val="26"/>
          <w:szCs w:val="26"/>
        </w:rPr>
        <w:t xml:space="preserve">,</w:t>
      </w:r>
      <w:r>
        <w:rPr>
          <w:rFonts w:ascii="PT Astra Sans" w:hAnsi="PT Astra Sans" w:eastAsia="PT Astra Sans" w:cs="PT Astra Sans"/>
          <w:color w:val="auto"/>
          <w:spacing w:val="0"/>
          <w:sz w:val="26"/>
          <w:szCs w:val="26"/>
          <w:lang w:eastAsia="ru-RU"/>
        </w:rPr>
        <w:t xml:space="preserve"> </w:t>
      </w:r>
      <w:r>
        <w:rPr>
          <w:rFonts w:ascii="PT Astra Sans" w:hAnsi="PT Astra Sans" w:eastAsia="PT Astra Sans" w:cs="PT Astra Sans"/>
          <w:color w:val="auto"/>
          <w:spacing w:val="0"/>
          <w:sz w:val="26"/>
          <w:szCs w:val="26"/>
          <w:lang w:eastAsia="ru-RU"/>
        </w:rPr>
        <w:t xml:space="preserve">неуведомление</w:t>
      </w:r>
      <w:r>
        <w:rPr>
          <w:rFonts w:ascii="PT Astra Sans" w:hAnsi="PT Astra Sans" w:eastAsia="PT Astra Sans" w:cs="PT Astra Sans"/>
          <w:color w:val="auto"/>
          <w:spacing w:val="0"/>
          <w:sz w:val="26"/>
          <w:szCs w:val="26"/>
          <w:lang w:eastAsia="ru-RU"/>
        </w:rPr>
        <w:t xml:space="preserve"> об уничтожении, повреждении или о сносе этих пунктов</w:t>
      </w:r>
      <w:r>
        <w:rPr>
          <w:rFonts w:ascii="PT Astra Sans" w:hAnsi="PT Astra Sans" w:eastAsia="PT Astra Sans" w:cs="PT Astra Sans"/>
          <w:color w:val="auto"/>
          <w:sz w:val="26"/>
          <w:szCs w:val="26"/>
        </w:rPr>
        <w:t xml:space="preserve">, отказ </w:t>
      </w:r>
      <w:r>
        <w:rPr>
          <w:rFonts w:ascii="PT Astra Sans" w:hAnsi="PT Astra Sans" w:eastAsia="PT Astra Sans" w:cs="PT Astra Sans"/>
          <w:color w:val="auto"/>
          <w:sz w:val="26"/>
          <w:szCs w:val="26"/>
        </w:rPr>
        <w:t xml:space="preserve">в предоставлении возможности </w:t>
      </w:r>
      <w:r>
        <w:rPr>
          <w:rFonts w:ascii="PT Astra Sans" w:hAnsi="PT Astra Sans" w:eastAsia="PT Astra Sans" w:cs="PT Astra Sans"/>
          <w:color w:val="auto"/>
          <w:sz w:val="26"/>
          <w:szCs w:val="26"/>
        </w:rPr>
        <w:t xml:space="preserve"> подъезда (подхода) к этим пунктам </w:t>
      </w:r>
      <w:r>
        <w:rPr>
          <w:rFonts w:ascii="PT Astra Sans" w:hAnsi="PT Astra Sans" w:eastAsia="PT Astra Sans" w:cs="PT Astra Sans"/>
          <w:color w:val="auto"/>
          <w:sz w:val="26"/>
          <w:szCs w:val="26"/>
        </w:rPr>
        <w:t xml:space="preserve">для проведения на них</w:t>
      </w:r>
      <w:r>
        <w:rPr>
          <w:rFonts w:ascii="PT Astra Sans" w:hAnsi="PT Astra Sans" w:eastAsia="PT Astra Sans" w:cs="PT Astra Sans"/>
          <w:color w:val="auto"/>
          <w:sz w:val="26"/>
          <w:szCs w:val="26"/>
        </w:rPr>
        <w:t xml:space="preserve"> наблюдений,</w:t>
      </w:r>
      <w:r>
        <w:rPr>
          <w:rFonts w:ascii="PT Astra Sans" w:hAnsi="PT Astra Sans" w:eastAsia="PT Astra Sans" w:cs="PT Astra Sans"/>
          <w:color w:val="auto"/>
          <w:sz w:val="26"/>
          <w:szCs w:val="26"/>
        </w:rPr>
        <w:t xml:space="preserve"> влечет наложение административного штрафа, а также возмещение вреда, причиненного федеральному имуществу (геодезическим пунктам), выплачиваемого лицами, причинившим</w:t>
      </w:r>
      <w:r>
        <w:rPr>
          <w:rFonts w:ascii="PT Astra Sans" w:hAnsi="PT Astra Sans" w:eastAsia="PT Astra Sans" w:cs="PT Astra Sans"/>
          <w:color w:val="auto"/>
          <w:sz w:val="26"/>
          <w:szCs w:val="26"/>
        </w:rPr>
        <w:t xml:space="preserve">и вред.</w:t>
      </w:r>
      <w:r>
        <w:rPr>
          <w:rFonts w:ascii="PT Astra Sans" w:hAnsi="PT Astra Sans" w:cs="PT Astra Sans"/>
          <w:color w:val="auto"/>
          <w:sz w:val="26"/>
          <w:szCs w:val="26"/>
          <w:highlight w:val="none"/>
        </w:rPr>
      </w:r>
      <w:r>
        <w:rPr>
          <w:rFonts w:ascii="PT Astra Sans" w:hAnsi="PT Astra Sans" w:cs="PT Astra Sans"/>
          <w:color w:val="auto"/>
          <w:sz w:val="26"/>
          <w:szCs w:val="26"/>
          <w:highlight w:val="none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cs="PT Astra Sans"/>
          <w:color w:val="292c2f"/>
          <w:sz w:val="26"/>
          <w:szCs w:val="26"/>
        </w:rPr>
      </w:pPr>
      <w:r>
        <w:rPr>
          <w:rFonts w:ascii="PT Astra Sans" w:hAnsi="PT Astra Sans" w:eastAsia="PT Astra Sans" w:cs="PT Astra Sans"/>
          <w:color w:val="292c2f"/>
          <w:sz w:val="26"/>
          <w:szCs w:val="26"/>
        </w:rPr>
      </w:r>
      <w:r>
        <w:rPr>
          <w:rFonts w:ascii="PT Astra Sans" w:hAnsi="PT Astra Sans" w:cs="PT Astra Sans"/>
          <w:color w:val="292c2f"/>
          <w:sz w:val="26"/>
          <w:szCs w:val="26"/>
        </w:rPr>
      </w:r>
      <w:r>
        <w:rPr>
          <w:rFonts w:ascii="PT Astra Sans" w:hAnsi="PT Astra Sans" w:cs="PT Astra Sans"/>
          <w:color w:val="292c2f"/>
          <w:sz w:val="26"/>
          <w:szCs w:val="26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cs="PT Astra Sans"/>
          <w:i/>
          <w:iCs/>
          <w:sz w:val="26"/>
          <w:szCs w:val="26"/>
        </w:rPr>
      </w:pPr>
      <w:r>
        <w:rPr>
          <w:rFonts w:ascii="PT Astra Sans" w:hAnsi="PT Astra Sans" w:eastAsia="PT Astra Sans" w:cs="PT Astra Sans"/>
          <w:i/>
          <w:iCs/>
          <w:sz w:val="26"/>
          <w:szCs w:val="26"/>
        </w:rPr>
        <w:t xml:space="preserve">Пресс-служба Управления </w:t>
      </w:r>
      <w:r>
        <w:rPr>
          <w:rFonts w:ascii="PT Astra Sans" w:hAnsi="PT Astra Sans" w:eastAsia="PT Astra Sans" w:cs="PT Astra Sans"/>
          <w:i/>
          <w:iCs/>
          <w:sz w:val="26"/>
          <w:szCs w:val="26"/>
        </w:rPr>
        <w:t xml:space="preserve">Росреестра</w:t>
      </w:r>
      <w:r>
        <w:rPr>
          <w:rFonts w:ascii="PT Astra Sans" w:hAnsi="PT Astra Sans" w:eastAsia="PT Astra Sans" w:cs="PT Astra Sans"/>
          <w:i/>
          <w:iCs/>
          <w:sz w:val="26"/>
          <w:szCs w:val="26"/>
        </w:rPr>
        <w:t xml:space="preserve"> по Иркутской области</w:t>
      </w:r>
      <w:r>
        <w:rPr>
          <w:rFonts w:ascii="PT Astra Sans" w:hAnsi="PT Astra Sans" w:cs="PT Astra Sans"/>
          <w:i/>
          <w:iCs/>
          <w:sz w:val="26"/>
          <w:szCs w:val="26"/>
        </w:rPr>
      </w:r>
      <w:r>
        <w:rPr>
          <w:rFonts w:ascii="PT Astra Sans" w:hAnsi="PT Astra Sans" w:cs="PT Astra Sans"/>
          <w:i/>
          <w:iCs/>
          <w:sz w:val="26"/>
          <w:szCs w:val="26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</w:r>
      <w:r>
        <w:rPr>
          <w:rFonts w:ascii="Arial" w:hAnsi="Arial" w:cs="Arial"/>
          <w:i/>
          <w:iCs/>
        </w:rPr>
      </w:r>
      <w:r>
        <w:rPr>
          <w:rFonts w:ascii="Arial" w:hAnsi="Arial" w:cs="Arial"/>
          <w:i/>
          <w:iCs/>
        </w:rPr>
      </w:r>
    </w:p>
    <w:p>
      <w:pPr>
        <w:ind w:left="0" w:right="0" w:firstLine="709"/>
        <w:jc w:val="both"/>
        <w:spacing w:line="240" w:lineRule="auto"/>
        <w:rPr>
          <w:rFonts w:ascii="PT Astra Sans" w:hAnsi="PT Astra Sans" w:eastAsia="PT Astra Sans" w:cs="PT Astra Sans"/>
          <w:sz w:val="26"/>
          <w:szCs w:val="26"/>
          <w:highlight w:val="none"/>
        </w:rPr>
      </w:pPr>
      <w:r>
        <w:rPr>
          <w:rFonts w:ascii="PT Astra Sans" w:hAnsi="PT Astra Sans" w:eastAsia="PT Astra Sans" w:cs="PT Astra Sans"/>
          <w:sz w:val="26"/>
          <w:szCs w:val="26"/>
          <w:highlight w:val="none"/>
        </w:rPr>
      </w:r>
      <w:r>
        <w:rPr>
          <w:rFonts w:ascii="PT Astra Sans" w:hAnsi="PT Astra Sans" w:eastAsia="PT Astra Sans" w:cs="PT Astra Sans"/>
          <w:sz w:val="26"/>
          <w:szCs w:val="26"/>
          <w:highlight w:val="none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cs="PT Astra Sans"/>
          <w:color w:val="292c2f"/>
          <w:sz w:val="26"/>
          <w:szCs w:val="26"/>
        </w:rPr>
      </w:pPr>
      <w:r>
        <w:rPr>
          <w:rFonts w:ascii="PT Astra Sans" w:hAnsi="PT Astra Sans" w:eastAsia="PT Astra Sans" w:cs="PT Astra Sans"/>
          <w:color w:val="292c2f"/>
          <w:sz w:val="26"/>
          <w:szCs w:val="26"/>
        </w:rPr>
      </w:r>
      <w:r>
        <w:rPr>
          <w:rFonts w:ascii="PT Astra Sans" w:hAnsi="PT Astra Sans" w:cs="PT Astra Sans"/>
          <w:color w:val="292c2f"/>
          <w:sz w:val="26"/>
          <w:szCs w:val="26"/>
        </w:rPr>
      </w:r>
      <w:r>
        <w:rPr>
          <w:rFonts w:ascii="PT Astra Sans" w:hAnsi="PT Astra Sans" w:cs="PT Astra Sans"/>
          <w:color w:val="292c2f"/>
          <w:sz w:val="26"/>
          <w:szCs w:val="26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</w:r>
      <w:r>
        <w:rPr>
          <w:rFonts w:ascii="Arial" w:hAnsi="Arial" w:cs="Arial"/>
          <w:i/>
          <w:iCs/>
        </w:rPr>
      </w:r>
      <w:r>
        <w:rPr>
          <w:rFonts w:ascii="Arial" w:hAnsi="Arial" w:cs="Arial"/>
          <w:i/>
          <w:iCs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</w:r>
      <w:r>
        <w:rPr>
          <w:rFonts w:ascii="Arial" w:hAnsi="Arial" w:cs="Arial"/>
          <w:i/>
          <w:iCs/>
        </w:rPr>
      </w:r>
      <w:r>
        <w:rPr>
          <w:rFonts w:ascii="Arial" w:hAnsi="Arial" w:cs="Arial"/>
          <w:i/>
          <w:iCs/>
        </w:rPr>
      </w:r>
    </w:p>
    <w:sectPr>
      <w:footnotePr/>
      <w:endnotePr/>
      <w:type w:val="nextPage"/>
      <w:pgSz w:w="11906" w:h="16838" w:orient="portrait"/>
      <w:pgMar w:top="851" w:right="849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table" w:styleId="839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object"/>
    <w:basedOn w:val="832"/>
  </w:style>
  <w:style w:type="paragraph" w:styleId="841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2"/>
    <w:uiPriority w:val="22"/>
    <w:qFormat/>
    <w:rPr>
      <w:b/>
      <w:bCs/>
    </w:rPr>
  </w:style>
  <w:style w:type="character" w:styleId="843">
    <w:name w:val="Emphasis"/>
    <w:basedOn w:val="83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10</cp:revision>
  <dcterms:created xsi:type="dcterms:W3CDTF">2024-02-13T03:39:00Z</dcterms:created>
  <dcterms:modified xsi:type="dcterms:W3CDTF">2024-12-09T06:44:46Z</dcterms:modified>
</cp:coreProperties>
</file>