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276" w:lineRule="auto"/>
        <w:tabs>
          <w:tab w:val="left" w:pos="567" w:leader="none"/>
        </w:tabs>
        <w:rPr>
          <w:rFonts w:ascii="Arial" w:hAnsi="Arial" w:eastAsia="Times New Roman" w:cs="Arial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81887</wp:posOffset>
                </wp:positionH>
                <wp:positionV relativeFrom="paragraph">
                  <wp:posOffset>135672</wp:posOffset>
                </wp:positionV>
                <wp:extent cx="2226780" cy="942975"/>
                <wp:effectExtent l="0" t="0" r="2540" b="0"/>
                <wp:wrapSquare wrapText="bothSides"/>
                <wp:docPr id="1" name="Рисунок 1" descr="C:\Users\gomanenko_gv\Desktop\герб длинный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omanenko_gv\Desktop\герб длинный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22678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6.45pt;mso-position-horizontal:absolute;mso-position-vertical-relative:text;margin-top:10.68pt;mso-position-vertical:absolute;width:175.34pt;height:74.25pt;mso-wrap-distance-left:9.00pt;mso-wrap-distance-top:0.00pt;mso-wrap-distance-right:9.00pt;mso-wrap-distance-bottom:0.00pt;" stroked="f">
                <v:path textboxrect="0,0,0,0"/>
                <w10:wrap type="square"/>
                <v:imagedata r:id="rId8" o:title=""/>
              </v:shape>
            </w:pict>
          </mc:Fallback>
        </mc:AlternateContent>
      </w:r>
      <w:r>
        <w:rPr>
          <w:rFonts w:ascii="Arial" w:hAnsi="Arial" w:eastAsia="Times New Roman" w:cs="Arial"/>
          <w:lang w:eastAsia="ru-RU"/>
        </w:rPr>
        <w:t xml:space="preserve"> </w:t>
      </w:r>
      <w:r>
        <w:rPr>
          <w:rFonts w:ascii="Arial" w:hAnsi="Arial" w:eastAsia="Times New Roman" w:cs="Arial"/>
          <w:lang w:eastAsia="ru-RU"/>
        </w:rPr>
      </w:r>
    </w:p>
    <w:p>
      <w:pPr>
        <w:jc w:val="right"/>
        <w:spacing w:line="276" w:lineRule="auto"/>
        <w:tabs>
          <w:tab w:val="left" w:pos="567" w:leader="none"/>
        </w:tabs>
        <w:rPr>
          <w:rFonts w:ascii="Arial" w:hAnsi="Arial" w:eastAsia="Times New Roman" w:cs="Arial"/>
          <w:lang w:eastAsia="ru-RU"/>
        </w:rPr>
      </w:pP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</w:p>
    <w:p>
      <w:pPr>
        <w:jc w:val="right"/>
        <w:spacing w:line="276" w:lineRule="auto"/>
        <w:tabs>
          <w:tab w:val="left" w:pos="567" w:leader="none"/>
        </w:tabs>
        <w:rPr>
          <w:rFonts w:ascii="Arial" w:hAnsi="Arial" w:eastAsia="Times New Roman" w:cs="Arial"/>
          <w:lang w:eastAsia="ru-RU"/>
        </w:rPr>
      </w:pP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</w:p>
    <w:p>
      <w:pPr>
        <w:jc w:val="right"/>
        <w:spacing w:line="276" w:lineRule="auto"/>
        <w:tabs>
          <w:tab w:val="left" w:pos="567" w:leader="none"/>
        </w:tabs>
        <w:rPr>
          <w:rFonts w:ascii="Arial" w:hAnsi="Arial" w:eastAsia="Times New Roman" w:cs="Arial"/>
          <w:lang w:eastAsia="ru-RU"/>
        </w:rPr>
      </w:pPr>
      <w:r>
        <w:rPr>
          <w:rFonts w:ascii="Arial" w:hAnsi="Arial" w:eastAsia="Times New Roman" w:cs="Arial"/>
          <w:lang w:eastAsia="ru-RU"/>
        </w:rPr>
        <w:t xml:space="preserve">13</w:t>
      </w:r>
      <w:r>
        <w:rPr>
          <w:rFonts w:ascii="Arial" w:hAnsi="Arial" w:eastAsia="Times New Roman" w:cs="Arial"/>
          <w:lang w:eastAsia="ru-RU"/>
        </w:rPr>
        <w:t xml:space="preserve"> </w:t>
      </w:r>
      <w:r>
        <w:rPr>
          <w:rFonts w:ascii="Arial" w:hAnsi="Arial" w:eastAsia="Times New Roman" w:cs="Arial"/>
          <w:lang w:eastAsia="ru-RU"/>
        </w:rPr>
        <w:t xml:space="preserve">но</w:t>
      </w:r>
      <w:r>
        <w:rPr>
          <w:rFonts w:ascii="Arial" w:hAnsi="Arial" w:eastAsia="Times New Roman" w:cs="Arial"/>
          <w:lang w:eastAsia="ru-RU"/>
        </w:rPr>
        <w:t xml:space="preserve">ября</w:t>
      </w:r>
      <w:r>
        <w:rPr>
          <w:rFonts w:ascii="Arial" w:hAnsi="Arial" w:eastAsia="Times New Roman" w:cs="Arial"/>
          <w:lang w:eastAsia="ru-RU"/>
        </w:rPr>
        <w:t xml:space="preserve"> 2024 года</w:t>
      </w:r>
      <w:r>
        <w:rPr>
          <w:rFonts w:ascii="Arial" w:hAnsi="Arial" w:eastAsia="Times New Roman" w:cs="Arial"/>
          <w:lang w:eastAsia="ru-RU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eastAsia="Times New Roman" w:cs="Arial"/>
          <w:lang w:eastAsia="ru-RU"/>
        </w:rPr>
      </w:pP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</w:p>
    <w:p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Новый закон расширил сферу «дачной амнистии»</w:t>
      </w:r>
      <w:r>
        <w:rPr>
          <w:rFonts w:ascii="Arial" w:hAnsi="Arial" w:cs="Arial"/>
          <w:b/>
        </w:rPr>
      </w: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 ноября вступил в силу закон, который расширяет перечень недвижимости, которую можно оформить в упрощенном порядке, по процедуре «дачной амнистии».</w:t>
      </w:r>
      <w:r>
        <w:rPr>
          <w:rFonts w:ascii="Arial" w:hAnsi="Arial" w:cs="Arial"/>
        </w:rPr>
      </w:r>
    </w:p>
    <w:p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Законом предусмотрено упрощенное оформление собственности на вспомогательные объекты недвижимости (сараи, бани, погреба, летние кухни, колодцы и другие хозяйственные постройки).</w:t>
      </w:r>
      <w:r>
        <w:rPr>
          <w:rFonts w:ascii="Arial" w:hAnsi="Arial" w:cs="Arial"/>
        </w:rPr>
      </w:r>
    </w:p>
    <w:p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При этом такие строения должны располагаться на земельных участках, предназначенных для индивидуального жилищного строительства, ведения личного подсобного хозяйства или ведения садоводства.</w:t>
      </w:r>
      <w:r>
        <w:rPr>
          <w:rFonts w:ascii="Arial" w:hAnsi="Arial" w:cs="Arial"/>
        </w:rPr>
      </w:r>
    </w:p>
    <w:p>
      <w:pPr>
        <w:spacing w:after="120" w:line="240" w:lineRule="auto"/>
        <w:rPr>
          <w:rFonts w:ascii="Arial" w:hAnsi="Arial" w:cs="Arial"/>
          <w:highlight w:val="none"/>
        </w:rPr>
      </w:pPr>
      <w:r>
        <w:rPr>
          <w:rFonts w:ascii="Arial" w:hAnsi="Arial" w:cs="Arial"/>
        </w:rPr>
        <w:t xml:space="preserve">Как уточнила заместитель руководителя Управления </w:t>
      </w:r>
      <w:r>
        <w:rPr>
          <w:rFonts w:ascii="Arial" w:hAnsi="Arial" w:cs="Arial"/>
        </w:rPr>
        <w:t xml:space="preserve">Росреестра</w:t>
      </w:r>
      <w:r>
        <w:rPr>
          <w:rFonts w:ascii="Arial" w:hAnsi="Arial" w:cs="Arial"/>
        </w:rPr>
        <w:t xml:space="preserve"> по Иркутской области Оксана Викторовна Арсентьева, если право на земельный участок у гражданина уже оформлено, то собственность на такие вспомогательные объекты теперь можно зарегистрировать на основании технического паспорта, </w:t>
      </w:r>
      <w:r>
        <w:rPr>
          <w:rFonts w:ascii="Arial" w:hAnsi="Arial" w:cs="Arial"/>
        </w:rPr>
        <w:t xml:space="preserve">других </w:t>
      </w:r>
      <w:r>
        <w:rPr>
          <w:rFonts w:ascii="Arial" w:hAnsi="Arial" w:cs="Arial"/>
        </w:rPr>
        <w:t xml:space="preserve">оценочных или учетных документов, </w:t>
      </w:r>
      <w:r>
        <w:rPr>
          <w:rFonts w:ascii="Arial" w:hAnsi="Arial" w:cs="Arial"/>
        </w:rPr>
        <w:t xml:space="preserve">изготовленных</w:t>
      </w:r>
      <w:bookmarkStart w:id="0" w:name="_GoBack"/>
      <w:r/>
      <w:bookmarkEnd w:id="0"/>
      <w:r>
        <w:rPr>
          <w:rFonts w:ascii="Arial" w:hAnsi="Arial" w:cs="Arial"/>
        </w:rPr>
        <w:t xml:space="preserve"> до 1 января 2013 года.</w:t>
      </w:r>
      <w:r>
        <w:rPr>
          <w:rFonts w:ascii="Arial" w:hAnsi="Arial" w:cs="Arial"/>
          <w:highlight w:val="none"/>
        </w:rPr>
      </w:r>
    </w:p>
    <w:p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highlight w:val="none"/>
        </w:rPr>
        <w:t xml:space="preserve">Также закон предусмотрел процедуру оформления права общей собственности на общее имущество, при которой конкретные размеры долей и фио сособственников указываться не будут, что позволит установить для объекта недвижимости режим общего имущества даже при отсутствии в реестре недвижимости сведений о всех сособственниках и о размере долей в праве.</w:t>
      </w:r>
      <w:r>
        <w:rPr>
          <w:rFonts w:ascii="Arial" w:hAnsi="Arial" w:cs="Arial"/>
          <w:highlight w:val="none"/>
        </w:rPr>
      </w:r>
    </w:p>
    <w:p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Кроме того, теперь «дачная амнистия» распространяется и на дома блокированной застройки (</w:t>
      </w:r>
      <w:r>
        <w:rPr>
          <w:rFonts w:ascii="Arial" w:hAnsi="Arial" w:cs="Arial"/>
        </w:rPr>
        <w:t xml:space="preserve">таунхаусы</w:t>
      </w:r>
      <w:r>
        <w:rPr>
          <w:rFonts w:ascii="Arial" w:hAnsi="Arial" w:cs="Arial"/>
        </w:rPr>
        <w:t xml:space="preserve">) и на участки под такими домами, но при условии, если такие дома возведены до 14 мая 1998 года, </w:t>
      </w:r>
      <w:r>
        <w:rPr>
          <w:rFonts w:ascii="Arial" w:hAnsi="Arial" w:cs="Arial"/>
        </w:rPr>
        <w:t xml:space="preserve">и</w:t>
      </w:r>
      <w:r>
        <w:rPr>
          <w:rFonts w:ascii="Arial" w:hAnsi="Arial" w:cs="Arial"/>
        </w:rPr>
        <w:t xml:space="preserve"> если в одном ряду таких домов построено не более двух.</w:t>
      </w:r>
      <w:r>
        <w:rPr>
          <w:rFonts w:ascii="Arial" w:hAnsi="Arial" w:cs="Arial"/>
        </w:rPr>
      </w:r>
    </w:p>
    <w:p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Напомним, что вопросы по оформлению прав на недвижимость можно задать по бесплатному справочному телефону Управления </w:t>
      </w:r>
      <w:r>
        <w:rPr>
          <w:rFonts w:ascii="Arial" w:hAnsi="Arial" w:cs="Arial"/>
        </w:rPr>
        <w:t xml:space="preserve">Росреестра</w:t>
      </w:r>
      <w:r>
        <w:rPr>
          <w:rFonts w:ascii="Arial" w:hAnsi="Arial" w:cs="Arial"/>
        </w:rPr>
        <w:t xml:space="preserve"> по Иркутской области 8(3952) 450-150.</w:t>
      </w:r>
      <w:r>
        <w:rPr>
          <w:rFonts w:ascii="Arial" w:hAnsi="Arial" w:cs="Arial"/>
        </w:rPr>
      </w: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spacing w:after="0" w:line="240" w:lineRule="auto"/>
        <w:rPr>
          <w:rFonts w:ascii="Arial" w:hAnsi="Arial" w:eastAsia="Times New Roman" w:cs="Arial"/>
          <w:i/>
          <w:iCs/>
          <w:color w:val="292c2f"/>
          <w:lang w:eastAsia="ru-RU"/>
        </w:rPr>
      </w:pPr>
      <w:r>
        <w:rPr>
          <w:rFonts w:ascii="Arial" w:hAnsi="Arial" w:eastAsia="Times New Roman" w:cs="Arial"/>
          <w:i/>
          <w:iCs/>
          <w:color w:val="292c2f"/>
          <w:lang w:eastAsia="ru-RU"/>
        </w:rPr>
      </w:r>
      <w:r>
        <w:rPr>
          <w:rFonts w:ascii="Arial" w:hAnsi="Arial" w:eastAsia="Times New Roman" w:cs="Arial"/>
          <w:i/>
          <w:iCs/>
          <w:color w:val="292c2f"/>
          <w:lang w:eastAsia="ru-RU"/>
        </w:rPr>
      </w:r>
    </w:p>
    <w:p>
      <w:pPr>
        <w:spacing w:after="0" w:line="240" w:lineRule="auto"/>
        <w:rPr>
          <w:rFonts w:ascii="Arial" w:hAnsi="Arial" w:eastAsia="Times New Roman" w:cs="Arial"/>
          <w:i/>
          <w:iCs/>
          <w:color w:val="292c2f"/>
          <w:lang w:eastAsia="ru-RU"/>
        </w:rPr>
      </w:pPr>
      <w:r>
        <w:rPr>
          <w:rFonts w:ascii="Arial" w:hAnsi="Arial" w:eastAsia="Times New Roman" w:cs="Arial"/>
          <w:i/>
          <w:iCs/>
          <w:color w:val="292c2f"/>
          <w:lang w:eastAsia="ru-RU"/>
        </w:rPr>
        <w:t xml:space="preserve">Пресс-служба Управления </w:t>
      </w:r>
      <w:r>
        <w:rPr>
          <w:rFonts w:ascii="Arial" w:hAnsi="Arial" w:eastAsia="Times New Roman" w:cs="Arial"/>
          <w:i/>
          <w:iCs/>
          <w:color w:val="292c2f"/>
          <w:lang w:eastAsia="ru-RU"/>
        </w:rPr>
        <w:t xml:space="preserve">Росреестра</w:t>
      </w:r>
      <w:r>
        <w:rPr>
          <w:rFonts w:ascii="Arial" w:hAnsi="Arial" w:eastAsia="Times New Roman" w:cs="Arial"/>
          <w:i/>
          <w:iCs/>
          <w:color w:val="292c2f"/>
          <w:lang w:eastAsia="ru-RU"/>
        </w:rPr>
        <w:t xml:space="preserve"> по Иркутской области</w:t>
      </w:r>
      <w:r>
        <w:rPr>
          <w:rFonts w:ascii="Arial" w:hAnsi="Arial" w:eastAsia="Times New Roman" w:cs="Arial"/>
          <w:i/>
          <w:iCs/>
          <w:color w:val="292c2f"/>
          <w:lang w:eastAsia="ru-RU"/>
        </w:rPr>
      </w:r>
    </w:p>
    <w:p>
      <w:pPr>
        <w:spacing w:after="0" w:line="240" w:lineRule="auto"/>
        <w:rPr>
          <w:rFonts w:ascii="Arial" w:hAnsi="Arial" w:eastAsia="Times New Roman" w:cs="Arial"/>
          <w:i/>
          <w:iCs/>
          <w:color w:val="292c2f"/>
          <w:lang w:eastAsia="ru-RU"/>
        </w:rPr>
      </w:pPr>
      <w:r>
        <w:rPr>
          <w:rFonts w:ascii="Arial" w:hAnsi="Arial" w:eastAsia="Times New Roman" w:cs="Arial"/>
          <w:i/>
          <w:iCs/>
          <w:color w:val="292c2f"/>
          <w:lang w:eastAsia="ru-RU"/>
        </w:rPr>
      </w:r>
      <w:r>
        <w:rPr>
          <w:rFonts w:ascii="Arial" w:hAnsi="Arial" w:eastAsia="Times New Roman" w:cs="Arial"/>
          <w:i/>
          <w:iCs/>
          <w:color w:val="292c2f"/>
          <w:lang w:eastAsia="ru-RU"/>
        </w:rPr>
      </w:r>
    </w:p>
    <w:p>
      <w:pPr>
        <w:spacing w:after="0" w:line="240" w:lineRule="auto"/>
        <w:rPr>
          <w:rFonts w:ascii="Arial" w:hAnsi="Arial" w:eastAsia="Times New Roman" w:cs="Arial"/>
          <w:i/>
          <w:iCs/>
          <w:color w:val="292c2f"/>
          <w:lang w:eastAsia="ru-RU"/>
        </w:rPr>
      </w:pPr>
      <w:r>
        <w:rPr>
          <w:rFonts w:ascii="Arial" w:hAnsi="Arial" w:eastAsia="Times New Roman" w:cs="Arial"/>
          <w:i/>
          <w:iCs/>
          <w:color w:val="292c2f"/>
          <w:lang w:eastAsia="ru-RU"/>
        </w:rPr>
      </w:r>
      <w:r>
        <w:rPr>
          <w:rFonts w:ascii="Arial" w:hAnsi="Arial" w:eastAsia="Times New Roman" w:cs="Arial"/>
          <w:i/>
          <w:iCs/>
          <w:color w:val="292c2f"/>
          <w:lang w:eastAsia="ru-RU"/>
        </w:rPr>
      </w:r>
    </w:p>
    <w:p>
      <w:pPr>
        <w:spacing w:after="0" w:line="240" w:lineRule="auto"/>
        <w:rPr>
          <w:rFonts w:ascii="Arial" w:hAnsi="Arial" w:eastAsia="Times New Roman" w:cs="Arial"/>
          <w:i/>
          <w:iCs/>
          <w:color w:val="292c2f"/>
          <w:lang w:eastAsia="ru-RU"/>
        </w:rPr>
      </w:pPr>
      <w:r>
        <w:rPr>
          <w:rFonts w:ascii="Arial" w:hAnsi="Arial" w:eastAsia="Times New Roman" w:cs="Arial"/>
          <w:i/>
          <w:iCs/>
          <w:color w:val="292c2f"/>
          <w:lang w:eastAsia="ru-RU"/>
        </w:rPr>
      </w:r>
      <w:r>
        <w:rPr>
          <w:rFonts w:ascii="Arial" w:hAnsi="Arial" w:eastAsia="Times New Roman" w:cs="Arial"/>
          <w:i/>
          <w:iCs/>
          <w:color w:val="292c2f"/>
          <w:lang w:eastAsia="ru-RU"/>
        </w:rPr>
      </w:r>
    </w:p>
    <w:sectPr>
      <w:footnotePr/>
      <w:endnotePr/>
      <w:type w:val="nextPage"/>
      <w:pgSz w:w="11906" w:h="16838" w:orient="portrait"/>
      <w:pgMar w:top="709" w:right="850" w:bottom="1134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uiPriority w:val="99"/>
    <w:unhideWhenUsed/>
    <w:rPr>
      <w:color w:val="0000ff"/>
      <w:u w:val="single"/>
    </w:rPr>
  </w:style>
  <w:style w:type="paragraph" w:styleId="622">
    <w:name w:val="Balloon Text"/>
    <w:basedOn w:val="617"/>
    <w:link w:val="62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3" w:customStyle="1">
    <w:name w:val="Текст выноски Знак"/>
    <w:basedOn w:val="618"/>
    <w:link w:val="622"/>
    <w:uiPriority w:val="99"/>
    <w:semiHidden/>
    <w:rPr>
      <w:rFonts w:ascii="Segoe UI" w:hAnsi="Segoe UI" w:cs="Segoe UI"/>
      <w:sz w:val="18"/>
      <w:szCs w:val="18"/>
    </w:rPr>
  </w:style>
  <w:style w:type="table" w:styleId="624">
    <w:name w:val="Table Grid"/>
    <w:basedOn w:val="61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25" w:customStyle="1">
    <w:name w:val="Основной текст (4)_"/>
    <w:link w:val="626"/>
    <w:uiPriority w:val="99"/>
    <w:rPr>
      <w:rFonts w:ascii="Times New Roman" w:hAnsi="Times New Roman" w:cs="Times New Roman"/>
      <w:b/>
      <w:bCs/>
      <w:shd w:val="clear" w:color="auto" w:fill="ffffff"/>
    </w:rPr>
  </w:style>
  <w:style w:type="paragraph" w:styleId="626" w:customStyle="1">
    <w:name w:val="Основной текст (4)"/>
    <w:basedOn w:val="617"/>
    <w:link w:val="625"/>
    <w:uiPriority w:val="99"/>
    <w:pPr>
      <w:ind w:firstLine="520"/>
      <w:jc w:val="both"/>
      <w:spacing w:before="120" w:after="240" w:line="240" w:lineRule="atLeast"/>
      <w:shd w:val="clear" w:color="auto" w:fill="ffffff"/>
      <w:widowControl w:val="off"/>
    </w:pPr>
    <w:rPr>
      <w:rFonts w:ascii="Times New Roman" w:hAnsi="Times New Roman" w:cs="Times New Roman"/>
      <w:b/>
      <w:bCs/>
    </w:rPr>
  </w:style>
  <w:style w:type="character" w:styleId="627" w:customStyle="1">
    <w:name w:val="link"/>
    <w:basedOn w:val="61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/>
  <dc:description/>
  <cp:revision>5</cp:revision>
  <dcterms:created xsi:type="dcterms:W3CDTF">2024-11-07T07:09:00Z</dcterms:created>
  <dcterms:modified xsi:type="dcterms:W3CDTF">2024-11-12T06:52:57Z</dcterms:modified>
</cp:coreProperties>
</file>