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839"/>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56"/>
        <w:gridCol w:w="5409"/>
      </w:tblGrid>
      <w:tr>
        <w:tblPrEx/>
        <w:trPr>
          <w:trHeight w:val="994"/>
        </w:trPr>
        <w:tc>
          <w:tcPr>
            <w:tcW w:w="4506" w:type="dxa"/>
            <w:textDirection w:val="lrTb"/>
            <w:noWrap w:val="false"/>
          </w:tcPr>
          <w:p>
            <w:pPr>
              <w:rPr>
                <w:rFonts w:ascii="Times New Roman" w:hAnsi="Times New Roman" w:cs="Times New Roman"/>
                <w:b/>
                <w:sz w:val="28"/>
                <w:szCs w:val="28"/>
              </w:rPr>
            </w:pPr>
            <w:r>
              <w:rPr>
                <w:rFonts w:ascii="Times New Roman" w:hAnsi="Times New Roman" w:cs="Times New Roman"/>
                <w:b/>
                <w:sz w:val="28"/>
                <w:szCs w:val="28"/>
                <w:lang w:eastAsia="ru-RU"/>
              </w:rPr>
              <mc:AlternateContent>
                <mc:Choice Requires="wpg">
                  <w:drawing>
                    <wp:inline xmlns:wp="http://schemas.openxmlformats.org/drawingml/2006/wordprocessingDrawing" distT="0" distB="0" distL="0" distR="0">
                      <wp:extent cx="2811591" cy="1190625"/>
                      <wp:effectExtent l="0" t="0" r="8255"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pic:cNvPicPr>
                              <pic:nvPr/>
                            </pic:nvPicPr>
                            <pic:blipFill>
                              <a:blip r:embed="rId10"/>
                              <a:stretch/>
                            </pic:blipFill>
                            <pic:spPr bwMode="auto">
                              <a:xfrm>
                                <a:off x="0" y="0"/>
                                <a:ext cx="2891070" cy="1224282"/>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21.39pt;height:93.75pt;mso-wrap-distance-left:0.00pt;mso-wrap-distance-top:0.00pt;mso-wrap-distance-right:0.00pt;mso-wrap-distance-bottom:0.00pt;" stroked="f">
                      <v:path textboxrect="0,0,0,0"/>
                      <v:imagedata r:id="rId10" o:title=""/>
                    </v:shape>
                  </w:pict>
                </mc:Fallback>
              </mc:AlternateContent>
            </w:r>
            <w:r>
              <w:rPr>
                <w:rFonts w:ascii="Times New Roman" w:hAnsi="Times New Roman" w:cs="Times New Roman"/>
                <w:b/>
                <w:sz w:val="28"/>
                <w:szCs w:val="28"/>
              </w:rPr>
            </w:r>
            <w:r>
              <w:rPr>
                <w:rFonts w:ascii="Times New Roman" w:hAnsi="Times New Roman" w:cs="Times New Roman"/>
                <w:b/>
                <w:sz w:val="28"/>
                <w:szCs w:val="28"/>
              </w:rPr>
            </w:r>
          </w:p>
        </w:tc>
        <w:tc>
          <w:tcPr>
            <w:tcW w:w="5559" w:type="dxa"/>
            <w:textDirection w:val="lrTb"/>
            <w:noWrap w:val="false"/>
          </w:tcPr>
          <w:p>
            <w:pPr>
              <w:rPr>
                <w:rFonts w:cs="Times New Roman"/>
                <w:b/>
                <w:sz w:val="24"/>
                <w:szCs w:val="24"/>
              </w:rPr>
            </w:pPr>
            <w:r>
              <w:rPr>
                <w:rFonts w:cs="Times New Roman"/>
                <w:b/>
                <w:sz w:val="24"/>
                <w:szCs w:val="24"/>
              </w:rPr>
            </w:r>
            <w:r>
              <w:rPr>
                <w:rFonts w:cs="Times New Roman"/>
                <w:b/>
                <w:sz w:val="24"/>
                <w:szCs w:val="24"/>
              </w:rPr>
            </w:r>
            <w:r>
              <w:rPr>
                <w:rFonts w:cs="Times New Roman"/>
                <w:b/>
                <w:sz w:val="24"/>
                <w:szCs w:val="24"/>
              </w:rPr>
            </w:r>
          </w:p>
          <w:p>
            <w:pPr>
              <w:jc w:val="right"/>
              <w:rPr>
                <w:rFonts w:ascii="Inter V" w:hAnsi="Inter V" w:cs="Times New Roman"/>
                <w:b/>
              </w:rPr>
            </w:pPr>
            <w:r>
              <w:rPr>
                <w:rFonts w:ascii="Inter V" w:hAnsi="Inter V" w:cs="Times New Roman"/>
                <w:b/>
              </w:rPr>
            </w:r>
            <w:r>
              <w:rPr>
                <w:rFonts w:ascii="Inter V" w:hAnsi="Inter V" w:cs="Times New Roman"/>
                <w:b/>
              </w:rPr>
            </w:r>
            <w:r>
              <w:rPr>
                <w:rFonts w:ascii="Inter V" w:hAnsi="Inter V" w:cs="Times New Roman"/>
                <w:b/>
              </w:rPr>
            </w:r>
          </w:p>
        </w:tc>
      </w:tr>
    </w:tbl>
    <w:p>
      <w:pPr>
        <w:jc w:val="right"/>
        <w:spacing w:line="240" w:lineRule="auto"/>
        <w:tabs>
          <w:tab w:val="left" w:pos="567" w:leader="none"/>
        </w:tabs>
        <w:rPr>
          <w:rFonts w:ascii="PT Astra Sans" w:hAnsi="PT Astra Sans" w:cs="PT Astra Sans"/>
          <w:color w:val="202122"/>
          <w:sz w:val="26"/>
          <w:szCs w:val="26"/>
          <w:shd w:val="clear" w:color="auto" w:fill="ffffff"/>
        </w:rPr>
      </w:pPr>
      <w:r>
        <w:rPr>
          <w:rFonts w:ascii="PT Astra Sans" w:hAnsi="PT Astra Sans" w:eastAsia="PT Astra Sans" w:cs="PT Astra Sans"/>
          <w:color w:val="202122"/>
          <w:sz w:val="26"/>
          <w:szCs w:val="26"/>
          <w:shd w:val="clear" w:color="auto" w:fill="ffffff"/>
        </w:rPr>
        <w:t xml:space="preserve">5 июня 2025 года</w:t>
      </w:r>
      <w:r>
        <w:rPr>
          <w:rFonts w:ascii="PT Astra Sans" w:hAnsi="PT Astra Sans" w:cs="PT Astra Sans"/>
          <w:color w:val="202122"/>
          <w:sz w:val="26"/>
          <w:szCs w:val="26"/>
          <w:shd w:val="clear" w:color="auto" w:fill="ffffff"/>
        </w:rPr>
      </w:r>
      <w:r>
        <w:rPr>
          <w:rFonts w:ascii="PT Astra Sans" w:hAnsi="PT Astra Sans" w:cs="PT Astra Sans"/>
          <w:color w:val="202122"/>
          <w:sz w:val="26"/>
          <w:szCs w:val="26"/>
          <w:shd w:val="clear" w:color="auto" w:fill="ffffff"/>
        </w:rPr>
      </w:r>
    </w:p>
    <w:p>
      <w:pPr>
        <w:ind w:left="0" w:right="0" w:firstLine="0"/>
        <w:jc w:val="both"/>
        <w:rPr>
          <w:b/>
          <w:bCs/>
        </w:rPr>
      </w:pPr>
      <w:r>
        <w:rPr>
          <w:rFonts w:ascii="PT Astra Serif" w:hAnsi="PT Astra Serif" w:cs="PT Astra Serif"/>
          <w:b/>
          <w:bCs/>
          <w:sz w:val="24"/>
          <w:szCs w:val="24"/>
        </w:rPr>
        <w:t xml:space="preserve">В каких случаях участок могут признать неиспользуемым?</w:t>
      </w:r>
      <w:r>
        <w:rPr>
          <w:b/>
          <w:bCs/>
        </w:rPr>
      </w:r>
    </w:p>
    <w:p>
      <w:pPr>
        <w:ind w:left="0" w:right="0" w:firstLine="0"/>
        <w:jc w:val="both"/>
      </w:pPr>
      <w:r>
        <w:rPr>
          <w:rFonts w:ascii="PT Astra Serif" w:hAnsi="PT Astra Serif" w:cs="PT Astra Serif"/>
          <w:sz w:val="24"/>
          <w:szCs w:val="24"/>
        </w:rPr>
        <w:t xml:space="preserve">Правительство России утвердило признаки, по которым и сам владелец земли и проверяющие органы могут определить, что участок может быть признан неиспользуемым. Речь идет о землях населенных пунктов, садовых и огородных участках. </w:t>
      </w:r>
      <w:r/>
    </w:p>
    <w:p>
      <w:pPr>
        <w:ind w:left="0" w:right="0" w:firstLine="0"/>
        <w:jc w:val="both"/>
      </w:pPr>
      <w:r>
        <w:rPr>
          <w:rFonts w:ascii="PT Astra Serif" w:hAnsi="PT Astra Serif" w:cs="PT Astra Serif"/>
          <w:sz w:val="24"/>
          <w:szCs w:val="24"/>
        </w:rPr>
        <w:t xml:space="preserve">Напомним, что с 1 марта 2025 года вступил в силу закон, который установил обязательный трехлетний срок для освоения земельных участков. Теперь же появился список конкретных условий, которые позволят считать земельный участок неиспользуемым, то есть неосвоен</w:t>
      </w:r>
      <w:r>
        <w:rPr>
          <w:rFonts w:ascii="PT Astra Serif" w:hAnsi="PT Astra Serif" w:cs="PT Astra Serif"/>
          <w:sz w:val="24"/>
          <w:szCs w:val="24"/>
        </w:rPr>
        <w:t xml:space="preserve">ным.</w:t>
      </w:r>
      <w:r/>
    </w:p>
    <w:p>
      <w:pPr>
        <w:ind w:left="0" w:right="0" w:firstLine="0"/>
        <w:jc w:val="both"/>
      </w:pPr>
      <w:r>
        <w:rPr>
          <w:rFonts w:ascii="PT Astra Serif" w:hAnsi="PT Astra Serif" w:cs="PT Astra Serif"/>
          <w:sz w:val="24"/>
          <w:szCs w:val="24"/>
        </w:rPr>
        <w:t xml:space="preserve">Новые правила призваны помочь в борьбе с заброшенными, захламленными участками, которые часто делают жизнь соседей некомфортной и даже небезопасной, ведь на таких участках часто возникают свалки мусора, живут грызуны, бродячие собаки и люди без определенног</w:t>
      </w:r>
      <w:r>
        <w:rPr>
          <w:rFonts w:ascii="PT Astra Serif" w:hAnsi="PT Astra Serif" w:cs="PT Astra Serif"/>
          <w:sz w:val="24"/>
          <w:szCs w:val="24"/>
        </w:rPr>
        <w:t xml:space="preserve">о места жительства.</w:t>
      </w:r>
      <w:r/>
    </w:p>
    <w:p>
      <w:pPr>
        <w:ind w:left="0" w:right="0" w:firstLine="0"/>
        <w:jc w:val="both"/>
      </w:pPr>
      <w:r>
        <w:rPr>
          <w:rFonts w:ascii="PT Astra Serif" w:hAnsi="PT Astra Serif" w:cs="PT Astra Serif"/>
          <w:sz w:val="24"/>
          <w:szCs w:val="24"/>
        </w:rPr>
        <w:t xml:space="preserve">Как поясняет и.о. руководителя Управления Росреестра по Иркутской области Лариса Михайловна Варфоломеева, важно, что теперь установлен исчерпывающий перечень условий, при которых проверяющие органы могут признать ваш участок неиспользуемым. То есть установл</w:t>
      </w:r>
      <w:r>
        <w:rPr>
          <w:rFonts w:ascii="PT Astra Serif" w:hAnsi="PT Astra Serif" w:cs="PT Astra Serif"/>
          <w:sz w:val="24"/>
          <w:szCs w:val="24"/>
        </w:rPr>
        <w:t xml:space="preserve">ены конкретные рамки, за которые контролирующие органы выйти не вправе, что исключит субъективный подход проверяющего и коррупционные проявления.</w:t>
      </w:r>
      <w:r/>
    </w:p>
    <w:p>
      <w:pPr>
        <w:ind w:left="0" w:right="0" w:firstLine="0"/>
        <w:jc w:val="both"/>
      </w:pPr>
      <w:r>
        <w:rPr>
          <w:rFonts w:ascii="PT Astra Serif" w:hAnsi="PT Astra Serif" w:cs="PT Astra Serif"/>
          <w:sz w:val="24"/>
          <w:szCs w:val="24"/>
        </w:rPr>
        <w:t xml:space="preserve">Для собственников и владельцев земли знание таких условий имеет большую важность, это позволит не допускать признания участка неиспользуемым.</w:t>
      </w:r>
      <w:r/>
    </w:p>
    <w:p>
      <w:pPr>
        <w:ind w:left="0" w:right="0" w:firstLine="0"/>
        <w:jc w:val="both"/>
      </w:pPr>
      <w:r>
        <w:rPr>
          <w:rFonts w:ascii="PT Astra Serif" w:hAnsi="PT Astra Serif" w:cs="PT Astra Serif"/>
          <w:sz w:val="24"/>
          <w:szCs w:val="24"/>
        </w:rPr>
        <w:t xml:space="preserve">В частности, для всех земельных участков в границах населенных пунктов, а также садовых и огородных участков признаком неиспользования является захламление или загрязнение отходами более половины их площади в течение года.</w:t>
      </w:r>
      <w:r/>
    </w:p>
    <w:p>
      <w:pPr>
        <w:ind w:left="0" w:right="0" w:firstLine="0"/>
        <w:jc w:val="both"/>
      </w:pPr>
      <w:r>
        <w:rPr>
          <w:rFonts w:ascii="PT Astra Serif" w:hAnsi="PT Astra Serif" w:cs="PT Astra Serif"/>
          <w:sz w:val="24"/>
          <w:szCs w:val="24"/>
        </w:rPr>
        <w:t xml:space="preserve">Садовые, огородные и приусадебные земельные участки не должны быть заросшими сорными растениями. Такие участки будут считаться неиспользуемыми, если более чем половина их площади в течение года остается покрытой сорными растениями высотой более 1 метра, а т</w:t>
      </w:r>
      <w:r>
        <w:rPr>
          <w:rFonts w:ascii="PT Astra Serif" w:hAnsi="PT Astra Serif" w:cs="PT Astra Serif"/>
          <w:sz w:val="24"/>
          <w:szCs w:val="24"/>
        </w:rPr>
        <w:t xml:space="preserve">акже деревьями и кустарниками, которые не являются предметами благоустройства и озеленения.</w:t>
      </w:r>
      <w:r/>
    </w:p>
    <w:p>
      <w:pPr>
        <w:ind w:left="0" w:right="0" w:firstLine="0"/>
        <w:jc w:val="both"/>
      </w:pPr>
      <w:r>
        <w:rPr>
          <w:rFonts w:ascii="PT Astra Serif" w:hAnsi="PT Astra Serif" w:cs="PT Astra Serif"/>
          <w:sz w:val="24"/>
          <w:szCs w:val="24"/>
        </w:rPr>
        <w:t xml:space="preserve">Для земельных участков, предназначенных для строительства, таким признаком будет отсутствие построенного и оформленного здания, сооружения в течение 5 лет. При этом установлены случаи, когда такой срок может быть иным – например, если он указан в разрешении</w:t>
      </w:r>
      <w:r>
        <w:rPr>
          <w:rFonts w:ascii="PT Astra Serif" w:hAnsi="PT Astra Serif" w:cs="PT Astra Serif"/>
          <w:sz w:val="24"/>
          <w:szCs w:val="24"/>
        </w:rPr>
        <w:t xml:space="preserve"> на строительство или решении о комплексном развитии территории.</w:t>
      </w:r>
      <w:r/>
    </w:p>
    <w:p>
      <w:pPr>
        <w:ind w:left="0" w:right="0" w:firstLine="0"/>
        <w:jc w:val="both"/>
      </w:pPr>
      <w:r>
        <w:rPr>
          <w:rFonts w:ascii="PT Astra Serif" w:hAnsi="PT Astra Serif" w:cs="PT Astra Serif"/>
          <w:sz w:val="24"/>
          <w:szCs w:val="24"/>
        </w:rPr>
        <w:t xml:space="preserve">Для земельных участков, предназначенных для индивидуального жилищного строительства, введен аналогичный признак неиспользования. При этом срок для строительства индивидуального жилого дома и регистрации права на него увеличен до 7 лет.</w:t>
      </w:r>
      <w:r/>
    </w:p>
    <w:p>
      <w:pPr>
        <w:ind w:left="0" w:right="0" w:firstLine="0"/>
        <w:jc w:val="both"/>
      </w:pPr>
      <w:r>
        <w:rPr>
          <w:rFonts w:ascii="PT Astra Serif" w:hAnsi="PT Astra Serif" w:cs="PT Astra Serif"/>
          <w:sz w:val="24"/>
          <w:szCs w:val="24"/>
        </w:rPr>
        <w:t xml:space="preserve">Если на земельном участке уже построены здание либо сооружение, то необходимо содержать их в надлежащем состоянии, не допускать разрушения крыши, стен, выпадения окон или стекол из окон. Это также будет свидетельствовать о неиспользовании земельного участка</w:t>
      </w:r>
      <w:r>
        <w:rPr>
          <w:rFonts w:ascii="PT Astra Serif" w:hAnsi="PT Astra Serif" w:cs="PT Astra Serif"/>
          <w:sz w:val="24"/>
          <w:szCs w:val="24"/>
        </w:rPr>
        <w:t xml:space="preserve">.</w:t>
      </w:r>
      <w:r/>
    </w:p>
    <w:p>
      <w:pPr>
        <w:ind w:left="0" w:right="0" w:firstLine="0"/>
        <w:jc w:val="both"/>
        <w:rPr>
          <w:rFonts w:ascii="PT Astra Serif" w:hAnsi="PT Astra Serif" w:cs="PT Astra Serif"/>
          <w:sz w:val="24"/>
          <w:szCs w:val="24"/>
        </w:rPr>
      </w:pPr>
      <w:r>
        <w:rPr>
          <w:rFonts w:ascii="PT Astra Serif" w:hAnsi="PT Astra Serif" w:cs="PT Astra Serif"/>
          <w:sz w:val="24"/>
          <w:szCs w:val="24"/>
        </w:rPr>
        <w:t xml:space="preserve">Новые правила вступают в силу с 1 сентября 2025 года.</w:t>
      </w:r>
      <w:r/>
      <w:r>
        <w:rPr>
          <w:rFonts w:ascii="PT Astra Serif" w:hAnsi="PT Astra Serif" w:cs="PT Astra Serif"/>
          <w:sz w:val="24"/>
          <w:szCs w:val="24"/>
        </w:rPr>
      </w:r>
    </w:p>
    <w:p>
      <w:pPr>
        <w:contextualSpacing w:val="0"/>
        <w:ind w:left="0" w:right="0" w:firstLine="0"/>
        <w:jc w:val="both"/>
        <w:spacing w:before="0" w:after="0" w:line="259" w:lineRule="auto"/>
        <w:rPr>
          <w:rFonts w:ascii="PT Astra Serif" w:hAnsi="PT Astra Serif" w:cs="PT Astra Serif"/>
          <w:sz w:val="16"/>
          <w:szCs w:val="16"/>
        </w:rPr>
        <w:suppressLineNumbers w:val="0"/>
      </w:pPr>
      <w:r>
        <w:rPr>
          <w:rFonts w:ascii="PT Astra Serif" w:hAnsi="PT Astra Serif" w:cs="PT Astra Serif"/>
          <w:sz w:val="24"/>
          <w:szCs w:val="24"/>
          <w:highlight w:val="none"/>
        </w:rPr>
      </w:r>
      <w:r>
        <w:rPr>
          <w:rFonts w:ascii="PT Astra Serif" w:hAnsi="PT Astra Serif" w:cs="PT Astra Serif"/>
          <w:sz w:val="16"/>
          <w:szCs w:val="16"/>
        </w:rPr>
      </w:r>
      <w:r>
        <w:rPr>
          <w:rFonts w:ascii="PT Astra Serif" w:hAnsi="PT Astra Serif" w:cs="PT Astra Serif"/>
          <w:sz w:val="16"/>
          <w:szCs w:val="16"/>
        </w:rPr>
      </w:r>
    </w:p>
    <w:p>
      <w:pPr>
        <w:jc w:val="both"/>
        <w:spacing w:line="276" w:lineRule="auto"/>
        <w:tabs>
          <w:tab w:val="left" w:pos="567" w:leader="none"/>
        </w:tabs>
        <w:rPr>
          <w:rFonts w:ascii="PT Astra Sans" w:hAnsi="PT Astra Sans" w:eastAsia="PT Astra Sans" w:cs="PT Astra Sans"/>
          <w:bCs/>
          <w:i/>
          <w:sz w:val="22"/>
          <w:szCs w:val="22"/>
          <w:highlight w:val="none"/>
        </w:rPr>
      </w:pPr>
      <w:r>
        <w:rPr>
          <w:rFonts w:ascii="PT Astra Sans" w:hAnsi="PT Astra Sans" w:eastAsia="PT Astra Sans" w:cs="PT Astra Sans"/>
          <w:i/>
          <w:iCs/>
          <w:sz w:val="22"/>
          <w:szCs w:val="22"/>
          <w:highlight w:val="none"/>
        </w:rPr>
        <w:t xml:space="preserve">Пресс-служба Управления Росреестра по Иркутской области</w:t>
      </w:r>
      <w:r>
        <w:rPr>
          <w:rFonts w:ascii="PT Astra Sans" w:hAnsi="PT Astra Sans" w:eastAsia="PT Astra Sans" w:cs="PT Astra Sans"/>
          <w:bCs/>
          <w:i/>
          <w:sz w:val="22"/>
          <w:szCs w:val="22"/>
          <w:highlight w:val="none"/>
        </w:rPr>
      </w:r>
      <w:r>
        <w:rPr>
          <w:rFonts w:ascii="PT Astra Sans" w:hAnsi="PT Astra Sans" w:eastAsia="PT Astra Sans" w:cs="PT Astra Sans"/>
          <w:bCs/>
          <w:i/>
          <w:sz w:val="22"/>
          <w:szCs w:val="22"/>
          <w:highlight w:val="none"/>
        </w:rPr>
      </w:r>
    </w:p>
    <w:sectPr>
      <w:footnotePr/>
      <w:endnotePr/>
      <w:type w:val="nextPage"/>
      <w:pgSz w:w="11906" w:h="16838" w:orient="portrait"/>
      <w:pgMar w:top="851" w:right="849" w:bottom="113"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ans">
    <w:panose1 w:val="020B0603020203020204"/>
  </w:font>
  <w:font w:name="Times New Roman">
    <w:panose1 w:val="02020603050405020304"/>
  </w:font>
  <w:font w:name="Inter V">
    <w:panose1 w:val="02000603000000000000"/>
  </w:font>
  <w:font w:name="Segoe UI">
    <w:panose1 w:val="020B0502040504020204"/>
  </w:font>
  <w:font w:name="PT Astra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6">
    <w:name w:val="Heading 1"/>
    <w:basedOn w:val="831"/>
    <w:next w:val="831"/>
    <w:link w:val="657"/>
    <w:uiPriority w:val="9"/>
    <w:qFormat/>
    <w:pPr>
      <w:keepLines/>
      <w:keepNext/>
      <w:spacing w:before="480" w:after="200"/>
      <w:outlineLvl w:val="0"/>
    </w:pPr>
    <w:rPr>
      <w:rFonts w:ascii="Arial" w:hAnsi="Arial" w:eastAsia="Arial" w:cs="Arial"/>
      <w:sz w:val="40"/>
      <w:szCs w:val="40"/>
    </w:rPr>
  </w:style>
  <w:style w:type="character" w:styleId="657">
    <w:name w:val="Heading 1 Char"/>
    <w:basedOn w:val="832"/>
    <w:link w:val="656"/>
    <w:uiPriority w:val="9"/>
    <w:rPr>
      <w:rFonts w:ascii="Arial" w:hAnsi="Arial" w:eastAsia="Arial" w:cs="Arial"/>
      <w:sz w:val="40"/>
      <w:szCs w:val="40"/>
    </w:rPr>
  </w:style>
  <w:style w:type="paragraph" w:styleId="658">
    <w:name w:val="Heading 2"/>
    <w:basedOn w:val="831"/>
    <w:next w:val="831"/>
    <w:link w:val="659"/>
    <w:uiPriority w:val="9"/>
    <w:unhideWhenUsed/>
    <w:qFormat/>
    <w:pPr>
      <w:keepLines/>
      <w:keepNext/>
      <w:spacing w:before="360" w:after="200"/>
      <w:outlineLvl w:val="1"/>
    </w:pPr>
    <w:rPr>
      <w:rFonts w:ascii="Arial" w:hAnsi="Arial" w:eastAsia="Arial" w:cs="Arial"/>
      <w:sz w:val="34"/>
    </w:rPr>
  </w:style>
  <w:style w:type="character" w:styleId="659">
    <w:name w:val="Heading 2 Char"/>
    <w:basedOn w:val="832"/>
    <w:link w:val="658"/>
    <w:uiPriority w:val="9"/>
    <w:rPr>
      <w:rFonts w:ascii="Arial" w:hAnsi="Arial" w:eastAsia="Arial" w:cs="Arial"/>
      <w:sz w:val="34"/>
    </w:rPr>
  </w:style>
  <w:style w:type="paragraph" w:styleId="660">
    <w:name w:val="Heading 3"/>
    <w:basedOn w:val="831"/>
    <w:next w:val="831"/>
    <w:link w:val="661"/>
    <w:uiPriority w:val="9"/>
    <w:unhideWhenUsed/>
    <w:qFormat/>
    <w:pPr>
      <w:keepLines/>
      <w:keepNext/>
      <w:spacing w:before="320" w:after="200"/>
      <w:outlineLvl w:val="2"/>
    </w:pPr>
    <w:rPr>
      <w:rFonts w:ascii="Arial" w:hAnsi="Arial" w:eastAsia="Arial" w:cs="Arial"/>
      <w:sz w:val="30"/>
      <w:szCs w:val="30"/>
    </w:rPr>
  </w:style>
  <w:style w:type="character" w:styleId="661">
    <w:name w:val="Heading 3 Char"/>
    <w:basedOn w:val="832"/>
    <w:link w:val="660"/>
    <w:uiPriority w:val="9"/>
    <w:rPr>
      <w:rFonts w:ascii="Arial" w:hAnsi="Arial" w:eastAsia="Arial" w:cs="Arial"/>
      <w:sz w:val="30"/>
      <w:szCs w:val="30"/>
    </w:rPr>
  </w:style>
  <w:style w:type="paragraph" w:styleId="662">
    <w:name w:val="Heading 4"/>
    <w:basedOn w:val="831"/>
    <w:next w:val="831"/>
    <w:link w:val="663"/>
    <w:uiPriority w:val="9"/>
    <w:unhideWhenUsed/>
    <w:qFormat/>
    <w:pPr>
      <w:keepLines/>
      <w:keepNext/>
      <w:spacing w:before="320" w:after="200"/>
      <w:outlineLvl w:val="3"/>
    </w:pPr>
    <w:rPr>
      <w:rFonts w:ascii="Arial" w:hAnsi="Arial" w:eastAsia="Arial" w:cs="Arial"/>
      <w:b/>
      <w:bCs/>
      <w:sz w:val="26"/>
      <w:szCs w:val="26"/>
    </w:rPr>
  </w:style>
  <w:style w:type="character" w:styleId="663">
    <w:name w:val="Heading 4 Char"/>
    <w:basedOn w:val="832"/>
    <w:link w:val="662"/>
    <w:uiPriority w:val="9"/>
    <w:rPr>
      <w:rFonts w:ascii="Arial" w:hAnsi="Arial" w:eastAsia="Arial" w:cs="Arial"/>
      <w:b/>
      <w:bCs/>
      <w:sz w:val="26"/>
      <w:szCs w:val="26"/>
    </w:rPr>
  </w:style>
  <w:style w:type="paragraph" w:styleId="664">
    <w:name w:val="Heading 5"/>
    <w:basedOn w:val="831"/>
    <w:next w:val="831"/>
    <w:link w:val="665"/>
    <w:uiPriority w:val="9"/>
    <w:unhideWhenUsed/>
    <w:qFormat/>
    <w:pPr>
      <w:keepLines/>
      <w:keepNext/>
      <w:spacing w:before="320" w:after="200"/>
      <w:outlineLvl w:val="4"/>
    </w:pPr>
    <w:rPr>
      <w:rFonts w:ascii="Arial" w:hAnsi="Arial" w:eastAsia="Arial" w:cs="Arial"/>
      <w:b/>
      <w:bCs/>
      <w:sz w:val="24"/>
      <w:szCs w:val="24"/>
    </w:rPr>
  </w:style>
  <w:style w:type="character" w:styleId="665">
    <w:name w:val="Heading 5 Char"/>
    <w:basedOn w:val="832"/>
    <w:link w:val="664"/>
    <w:uiPriority w:val="9"/>
    <w:rPr>
      <w:rFonts w:ascii="Arial" w:hAnsi="Arial" w:eastAsia="Arial" w:cs="Arial"/>
      <w:b/>
      <w:bCs/>
      <w:sz w:val="24"/>
      <w:szCs w:val="24"/>
    </w:rPr>
  </w:style>
  <w:style w:type="paragraph" w:styleId="666">
    <w:name w:val="Heading 6"/>
    <w:basedOn w:val="831"/>
    <w:next w:val="831"/>
    <w:link w:val="667"/>
    <w:uiPriority w:val="9"/>
    <w:unhideWhenUsed/>
    <w:qFormat/>
    <w:pPr>
      <w:keepLines/>
      <w:keepNext/>
      <w:spacing w:before="320" w:after="200"/>
      <w:outlineLvl w:val="5"/>
    </w:pPr>
    <w:rPr>
      <w:rFonts w:ascii="Arial" w:hAnsi="Arial" w:eastAsia="Arial" w:cs="Arial"/>
      <w:b/>
      <w:bCs/>
      <w:sz w:val="22"/>
      <w:szCs w:val="22"/>
    </w:rPr>
  </w:style>
  <w:style w:type="character" w:styleId="667">
    <w:name w:val="Heading 6 Char"/>
    <w:basedOn w:val="832"/>
    <w:link w:val="666"/>
    <w:uiPriority w:val="9"/>
    <w:rPr>
      <w:rFonts w:ascii="Arial" w:hAnsi="Arial" w:eastAsia="Arial" w:cs="Arial"/>
      <w:b/>
      <w:bCs/>
      <w:sz w:val="22"/>
      <w:szCs w:val="22"/>
    </w:rPr>
  </w:style>
  <w:style w:type="paragraph" w:styleId="668">
    <w:name w:val="Heading 7"/>
    <w:basedOn w:val="831"/>
    <w:next w:val="831"/>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2"/>
    <w:link w:val="668"/>
    <w:uiPriority w:val="9"/>
    <w:rPr>
      <w:rFonts w:ascii="Arial" w:hAnsi="Arial" w:eastAsia="Arial" w:cs="Arial"/>
      <w:b/>
      <w:bCs/>
      <w:i/>
      <w:iCs/>
      <w:sz w:val="22"/>
      <w:szCs w:val="22"/>
    </w:rPr>
  </w:style>
  <w:style w:type="paragraph" w:styleId="670">
    <w:name w:val="Heading 8"/>
    <w:basedOn w:val="831"/>
    <w:next w:val="831"/>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2"/>
    <w:link w:val="670"/>
    <w:uiPriority w:val="9"/>
    <w:rPr>
      <w:rFonts w:ascii="Arial" w:hAnsi="Arial" w:eastAsia="Arial" w:cs="Arial"/>
      <w:i/>
      <w:iCs/>
      <w:sz w:val="22"/>
      <w:szCs w:val="22"/>
    </w:rPr>
  </w:style>
  <w:style w:type="paragraph" w:styleId="672">
    <w:name w:val="Heading 9"/>
    <w:basedOn w:val="831"/>
    <w:next w:val="831"/>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2"/>
    <w:link w:val="672"/>
    <w:uiPriority w:val="9"/>
    <w:rPr>
      <w:rFonts w:ascii="Arial" w:hAnsi="Arial" w:eastAsia="Arial" w:cs="Arial"/>
      <w:i/>
      <w:iCs/>
      <w:sz w:val="21"/>
      <w:szCs w:val="21"/>
    </w:rPr>
  </w:style>
  <w:style w:type="paragraph" w:styleId="674">
    <w:name w:val="No Spacing"/>
    <w:uiPriority w:val="1"/>
    <w:qFormat/>
    <w:pPr>
      <w:spacing w:before="0" w:after="0" w:line="240" w:lineRule="auto"/>
    </w:pPr>
  </w:style>
  <w:style w:type="paragraph" w:styleId="675">
    <w:name w:val="Title"/>
    <w:basedOn w:val="831"/>
    <w:next w:val="831"/>
    <w:link w:val="676"/>
    <w:uiPriority w:val="10"/>
    <w:qFormat/>
    <w:pPr>
      <w:contextualSpacing/>
      <w:spacing w:before="300" w:after="200"/>
    </w:pPr>
    <w:rPr>
      <w:sz w:val="48"/>
      <w:szCs w:val="48"/>
    </w:rPr>
  </w:style>
  <w:style w:type="character" w:styleId="676">
    <w:name w:val="Title Char"/>
    <w:basedOn w:val="832"/>
    <w:link w:val="675"/>
    <w:uiPriority w:val="10"/>
    <w:rPr>
      <w:sz w:val="48"/>
      <w:szCs w:val="48"/>
    </w:rPr>
  </w:style>
  <w:style w:type="paragraph" w:styleId="677">
    <w:name w:val="Subtitle"/>
    <w:basedOn w:val="831"/>
    <w:next w:val="831"/>
    <w:link w:val="678"/>
    <w:uiPriority w:val="11"/>
    <w:qFormat/>
    <w:pPr>
      <w:spacing w:before="200" w:after="200"/>
    </w:pPr>
    <w:rPr>
      <w:sz w:val="24"/>
      <w:szCs w:val="24"/>
    </w:rPr>
  </w:style>
  <w:style w:type="character" w:styleId="678">
    <w:name w:val="Subtitle Char"/>
    <w:basedOn w:val="832"/>
    <w:link w:val="677"/>
    <w:uiPriority w:val="11"/>
    <w:rPr>
      <w:sz w:val="24"/>
      <w:szCs w:val="24"/>
    </w:rPr>
  </w:style>
  <w:style w:type="paragraph" w:styleId="679">
    <w:name w:val="Quote"/>
    <w:basedOn w:val="831"/>
    <w:next w:val="831"/>
    <w:link w:val="680"/>
    <w:uiPriority w:val="29"/>
    <w:qFormat/>
    <w:pPr>
      <w:ind w:left="720" w:right="720"/>
    </w:pPr>
    <w:rPr>
      <w:i/>
    </w:rPr>
  </w:style>
  <w:style w:type="character" w:styleId="680">
    <w:name w:val="Quote Char"/>
    <w:link w:val="679"/>
    <w:uiPriority w:val="29"/>
    <w:rPr>
      <w:i/>
    </w:rPr>
  </w:style>
  <w:style w:type="paragraph" w:styleId="681">
    <w:name w:val="Intense Quote"/>
    <w:basedOn w:val="831"/>
    <w:next w:val="831"/>
    <w:link w:val="68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2">
    <w:name w:val="Intense Quote Char"/>
    <w:link w:val="681"/>
    <w:uiPriority w:val="30"/>
    <w:rPr>
      <w:i/>
    </w:rPr>
  </w:style>
  <w:style w:type="paragraph" w:styleId="683">
    <w:name w:val="Header"/>
    <w:basedOn w:val="831"/>
    <w:link w:val="684"/>
    <w:uiPriority w:val="99"/>
    <w:unhideWhenUsed/>
    <w:pPr>
      <w:spacing w:after="0" w:line="240" w:lineRule="auto"/>
      <w:tabs>
        <w:tab w:val="center" w:pos="7143" w:leader="none"/>
        <w:tab w:val="right" w:pos="14287" w:leader="none"/>
      </w:tabs>
    </w:pPr>
  </w:style>
  <w:style w:type="character" w:styleId="684">
    <w:name w:val="Header Char"/>
    <w:basedOn w:val="832"/>
    <w:link w:val="683"/>
    <w:uiPriority w:val="99"/>
  </w:style>
  <w:style w:type="paragraph" w:styleId="685">
    <w:name w:val="Footer"/>
    <w:basedOn w:val="831"/>
    <w:link w:val="688"/>
    <w:uiPriority w:val="99"/>
    <w:unhideWhenUsed/>
    <w:pPr>
      <w:spacing w:after="0" w:line="240" w:lineRule="auto"/>
      <w:tabs>
        <w:tab w:val="center" w:pos="7143" w:leader="none"/>
        <w:tab w:val="right" w:pos="14287" w:leader="none"/>
      </w:tabs>
    </w:pPr>
  </w:style>
  <w:style w:type="character" w:styleId="686">
    <w:name w:val="Footer Char"/>
    <w:basedOn w:val="832"/>
    <w:link w:val="685"/>
    <w:uiPriority w:val="99"/>
  </w:style>
  <w:style w:type="paragraph" w:styleId="687">
    <w:name w:val="Caption"/>
    <w:basedOn w:val="831"/>
    <w:next w:val="831"/>
    <w:uiPriority w:val="35"/>
    <w:semiHidden/>
    <w:unhideWhenUsed/>
    <w:qFormat/>
    <w:pPr>
      <w:spacing w:line="276" w:lineRule="auto"/>
    </w:pPr>
    <w:rPr>
      <w:b/>
      <w:bCs/>
      <w:color w:val="4f81bd" w:themeColor="accent1"/>
      <w:sz w:val="18"/>
      <w:szCs w:val="18"/>
    </w:rPr>
  </w:style>
  <w:style w:type="character" w:styleId="688">
    <w:name w:val="Caption Char"/>
    <w:basedOn w:val="687"/>
    <w:link w:val="685"/>
    <w:uiPriority w:val="99"/>
  </w:style>
  <w:style w:type="table" w:styleId="689">
    <w:name w:val="Table Grid Light"/>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5">
    <w:name w:val="Grid Table 5 Dark - Accent 2"/>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9">
    <w:name w:val="Grid Table 5 Dark - Accent 6"/>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7">
    <w:name w:val="Grid Table 7 Colorful"/>
    <w:basedOn w:val="8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0">
    <w:name w:val="List Table 3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4">
    <w:name w:val="List Table 3 - Accent 6"/>
    <w:basedOn w:val="8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4 - Accent 2"/>
    <w:basedOn w:val="8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1">
    <w:name w:val="List Table 4 - Accent 6"/>
    <w:basedOn w:val="8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1">
    <w:name w:val="List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5">
    <w:name w:val="List Table 6 Colorful - Accent 6"/>
    <w:basedOn w:val="8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8">
    <w:name w:val="List Table 7 Colorful - Accent 2"/>
    <w:basedOn w:val="8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2">
    <w:name w:val="List Table 7 Colorful - Accent 6"/>
    <w:basedOn w:val="8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5">
    <w:name w:val="Lined - Accent 2"/>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9">
    <w:name w:val="Lined - Accent 6"/>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Bordered &amp; Lined - Accent 2"/>
    <w:basedOn w:val="8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Bordered &amp; Lined - Accent 6"/>
    <w:basedOn w:val="8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4">
    <w:name w:val="footnote text"/>
    <w:basedOn w:val="831"/>
    <w:link w:val="815"/>
    <w:uiPriority w:val="99"/>
    <w:semiHidden/>
    <w:unhideWhenUsed/>
    <w:pPr>
      <w:spacing w:after="40" w:line="240" w:lineRule="auto"/>
    </w:pPr>
    <w:rPr>
      <w:sz w:val="18"/>
    </w:rPr>
  </w:style>
  <w:style w:type="character" w:styleId="815">
    <w:name w:val="Footnote Text Char"/>
    <w:link w:val="814"/>
    <w:uiPriority w:val="99"/>
    <w:rPr>
      <w:sz w:val="18"/>
    </w:rPr>
  </w:style>
  <w:style w:type="character" w:styleId="816">
    <w:name w:val="footnote reference"/>
    <w:basedOn w:val="832"/>
    <w:uiPriority w:val="99"/>
    <w:unhideWhenUsed/>
    <w:rPr>
      <w:vertAlign w:val="superscript"/>
    </w:rPr>
  </w:style>
  <w:style w:type="paragraph" w:styleId="817">
    <w:name w:val="endnote text"/>
    <w:basedOn w:val="831"/>
    <w:link w:val="818"/>
    <w:uiPriority w:val="99"/>
    <w:semiHidden/>
    <w:unhideWhenUsed/>
    <w:pPr>
      <w:spacing w:after="0" w:line="240" w:lineRule="auto"/>
    </w:pPr>
    <w:rPr>
      <w:sz w:val="20"/>
    </w:rPr>
  </w:style>
  <w:style w:type="character" w:styleId="818">
    <w:name w:val="Endnote Text Char"/>
    <w:link w:val="817"/>
    <w:uiPriority w:val="99"/>
    <w:rPr>
      <w:sz w:val="20"/>
    </w:rPr>
  </w:style>
  <w:style w:type="character" w:styleId="819">
    <w:name w:val="endnote reference"/>
    <w:basedOn w:val="832"/>
    <w:uiPriority w:val="99"/>
    <w:semiHidden/>
    <w:unhideWhenUsed/>
    <w:rPr>
      <w:vertAlign w:val="superscript"/>
    </w:rPr>
  </w:style>
  <w:style w:type="paragraph" w:styleId="820">
    <w:name w:val="toc 1"/>
    <w:basedOn w:val="831"/>
    <w:next w:val="831"/>
    <w:uiPriority w:val="39"/>
    <w:unhideWhenUsed/>
    <w:pPr>
      <w:ind w:left="0" w:right="0" w:firstLine="0"/>
      <w:spacing w:after="57"/>
    </w:pPr>
  </w:style>
  <w:style w:type="paragraph" w:styleId="821">
    <w:name w:val="toc 2"/>
    <w:basedOn w:val="831"/>
    <w:next w:val="831"/>
    <w:uiPriority w:val="39"/>
    <w:unhideWhenUsed/>
    <w:pPr>
      <w:ind w:left="283" w:right="0" w:firstLine="0"/>
      <w:spacing w:after="57"/>
    </w:pPr>
  </w:style>
  <w:style w:type="paragraph" w:styleId="822">
    <w:name w:val="toc 3"/>
    <w:basedOn w:val="831"/>
    <w:next w:val="831"/>
    <w:uiPriority w:val="39"/>
    <w:unhideWhenUsed/>
    <w:pPr>
      <w:ind w:left="567" w:right="0" w:firstLine="0"/>
      <w:spacing w:after="57"/>
    </w:pPr>
  </w:style>
  <w:style w:type="paragraph" w:styleId="823">
    <w:name w:val="toc 4"/>
    <w:basedOn w:val="831"/>
    <w:next w:val="831"/>
    <w:uiPriority w:val="39"/>
    <w:unhideWhenUsed/>
    <w:pPr>
      <w:ind w:left="850" w:right="0" w:firstLine="0"/>
      <w:spacing w:after="57"/>
    </w:pPr>
  </w:style>
  <w:style w:type="paragraph" w:styleId="824">
    <w:name w:val="toc 5"/>
    <w:basedOn w:val="831"/>
    <w:next w:val="831"/>
    <w:uiPriority w:val="39"/>
    <w:unhideWhenUsed/>
    <w:pPr>
      <w:ind w:left="1134" w:right="0" w:firstLine="0"/>
      <w:spacing w:after="57"/>
    </w:pPr>
  </w:style>
  <w:style w:type="paragraph" w:styleId="825">
    <w:name w:val="toc 6"/>
    <w:basedOn w:val="831"/>
    <w:next w:val="831"/>
    <w:uiPriority w:val="39"/>
    <w:unhideWhenUsed/>
    <w:pPr>
      <w:ind w:left="1417" w:right="0" w:firstLine="0"/>
      <w:spacing w:after="57"/>
    </w:pPr>
  </w:style>
  <w:style w:type="paragraph" w:styleId="826">
    <w:name w:val="toc 7"/>
    <w:basedOn w:val="831"/>
    <w:next w:val="831"/>
    <w:uiPriority w:val="39"/>
    <w:unhideWhenUsed/>
    <w:pPr>
      <w:ind w:left="1701" w:right="0" w:firstLine="0"/>
      <w:spacing w:after="57"/>
    </w:pPr>
  </w:style>
  <w:style w:type="paragraph" w:styleId="827">
    <w:name w:val="toc 8"/>
    <w:basedOn w:val="831"/>
    <w:next w:val="831"/>
    <w:uiPriority w:val="39"/>
    <w:unhideWhenUsed/>
    <w:pPr>
      <w:ind w:left="1984" w:right="0" w:firstLine="0"/>
      <w:spacing w:after="57"/>
    </w:pPr>
  </w:style>
  <w:style w:type="paragraph" w:styleId="828">
    <w:name w:val="toc 9"/>
    <w:basedOn w:val="831"/>
    <w:next w:val="831"/>
    <w:uiPriority w:val="39"/>
    <w:unhideWhenUsed/>
    <w:pPr>
      <w:ind w:left="2268" w:right="0" w:firstLine="0"/>
      <w:spacing w:after="57"/>
    </w:pPr>
  </w:style>
  <w:style w:type="paragraph" w:styleId="829">
    <w:name w:val="TOC Heading"/>
    <w:uiPriority w:val="39"/>
    <w:unhideWhenUsed/>
  </w:style>
  <w:style w:type="paragraph" w:styleId="830">
    <w:name w:val="table of figures"/>
    <w:basedOn w:val="831"/>
    <w:next w:val="831"/>
    <w:uiPriority w:val="99"/>
    <w:unhideWhenUsed/>
    <w:pPr>
      <w:spacing w:after="0" w:afterAutospacing="0"/>
    </w:pPr>
  </w:style>
  <w:style w:type="paragraph" w:styleId="831" w:default="1">
    <w:name w:val="Normal"/>
    <w:qFormat/>
  </w:style>
  <w:style w:type="character" w:styleId="832" w:default="1">
    <w:name w:val="Default Paragraph Font"/>
    <w:uiPriority w:val="1"/>
    <w:semiHidden/>
    <w:unhideWhenUsed/>
  </w:style>
  <w:style w:type="table" w:styleId="833" w:default="1">
    <w:name w:val="Normal Table"/>
    <w:uiPriority w:val="99"/>
    <w:semiHidden/>
    <w:unhideWhenUsed/>
    <w:tblPr>
      <w:tblInd w:w="0" w:type="dxa"/>
      <w:tblCellMar>
        <w:left w:w="108" w:type="dxa"/>
        <w:top w:w="0" w:type="dxa"/>
        <w:right w:w="108" w:type="dxa"/>
        <w:bottom w:w="0" w:type="dxa"/>
      </w:tblCellMar>
    </w:tblPr>
  </w:style>
  <w:style w:type="numbering" w:styleId="834" w:default="1">
    <w:name w:val="No List"/>
    <w:uiPriority w:val="99"/>
    <w:semiHidden/>
    <w:unhideWhenUsed/>
  </w:style>
  <w:style w:type="paragraph" w:styleId="835">
    <w:name w:val="Balloon Text"/>
    <w:basedOn w:val="831"/>
    <w:link w:val="836"/>
    <w:uiPriority w:val="99"/>
    <w:semiHidden/>
    <w:unhideWhenUsed/>
    <w:pPr>
      <w:spacing w:after="0" w:line="240" w:lineRule="auto"/>
    </w:pPr>
    <w:rPr>
      <w:rFonts w:ascii="Segoe UI" w:hAnsi="Segoe UI" w:cs="Segoe UI"/>
      <w:sz w:val="18"/>
      <w:szCs w:val="18"/>
    </w:rPr>
  </w:style>
  <w:style w:type="character" w:styleId="836" w:customStyle="1">
    <w:name w:val="Текст выноски Знак"/>
    <w:basedOn w:val="832"/>
    <w:link w:val="835"/>
    <w:uiPriority w:val="99"/>
    <w:semiHidden/>
    <w:rPr>
      <w:rFonts w:ascii="Segoe UI" w:hAnsi="Segoe UI" w:cs="Segoe UI"/>
      <w:sz w:val="18"/>
      <w:szCs w:val="18"/>
    </w:rPr>
  </w:style>
  <w:style w:type="character" w:styleId="837">
    <w:name w:val="Hyperlink"/>
    <w:basedOn w:val="832"/>
    <w:uiPriority w:val="99"/>
    <w:unhideWhenUsed/>
    <w:rPr>
      <w:color w:val="0563c1" w:themeColor="hyperlink"/>
      <w:u w:val="single"/>
    </w:rPr>
  </w:style>
  <w:style w:type="paragraph" w:styleId="838">
    <w:name w:val="List Paragraph"/>
    <w:basedOn w:val="831"/>
    <w:uiPriority w:val="34"/>
    <w:qFormat/>
    <w:pPr>
      <w:contextualSpacing/>
      <w:ind w:left="720"/>
    </w:pPr>
  </w:style>
  <w:style w:type="table" w:styleId="839">
    <w:name w:val="Table Grid"/>
    <w:basedOn w:val="83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0" w:customStyle="1">
    <w:name w:val="object"/>
    <w:basedOn w:val="832"/>
  </w:style>
  <w:style w:type="paragraph" w:styleId="841">
    <w:name w:val="Normal (Web)"/>
    <w:basedOn w:val="831"/>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42">
    <w:name w:val="Strong"/>
    <w:basedOn w:val="832"/>
    <w:uiPriority w:val="22"/>
    <w:qFormat/>
    <w:rPr>
      <w:b/>
      <w:bCs/>
    </w:rPr>
  </w:style>
  <w:style w:type="character" w:styleId="843">
    <w:name w:val="Emphasis"/>
    <w:basedOn w:val="832"/>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0731-50C2-48B4-ABE6-4C8323D0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revision>32</cp:revision>
  <dcterms:created xsi:type="dcterms:W3CDTF">2024-02-13T03:39:00Z</dcterms:created>
  <dcterms:modified xsi:type="dcterms:W3CDTF">2025-06-04T02:15:35Z</dcterms:modified>
</cp:coreProperties>
</file>