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6 августа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rPr>
          <w:b/>
          <w:bCs/>
        </w:rPr>
      </w:pPr>
      <w:r>
        <w:rPr>
          <w:rFonts w:ascii="PT Astra Serif" w:hAnsi="PT Astra Serif" w:cs="PT Astra Serif"/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b/>
          <w:bCs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В Иркутской области выявлены нарушения при проведении геодезической деятельности</w:t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Управление Росреестра по Иркутской области проводит проверки организаций, получивших лицензии на проведение геодезических и картографических работ. </w:t>
      </w:r>
      <w:r>
        <w:rPr>
          <w:rFonts w:ascii="PT Astra Serif" w:hAnsi="PT Astra Serif" w:cs="PT Astra Serif"/>
          <w:sz w:val="24"/>
          <w:szCs w:val="24"/>
        </w:rPr>
        <w:t xml:space="preserve">Это нужно для того, чтобы провери</w:t>
      </w:r>
      <w:r>
        <w:rPr>
          <w:rFonts w:ascii="PT Astra Serif" w:hAnsi="PT Astra Serif" w:cs="PT Astra Serif"/>
          <w:sz w:val="24"/>
          <w:szCs w:val="24"/>
        </w:rPr>
        <w:t xml:space="preserve">ть, что геодезическая или картографическая деятельность проводится лицензиатами без нарушений.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 1 полугодии 2025 года в Иркутской области проведено 47 таких проверок.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 результате в 9 случаях выявлены нарушения законодательства, нарушителям были направлены документы для их исправления. </w:t>
      </w:r>
      <w:r>
        <w:rPr>
          <w:rFonts w:ascii="PT Astra Serif" w:hAnsi="PT Astra Serif" w:cs="PT Astra Serif"/>
          <w:sz w:val="24"/>
          <w:szCs w:val="24"/>
        </w:rPr>
        <w:t xml:space="preserve">Кроме того, было приостановлено на срок шестьдесят дней действие 4 лицензий.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 одном случае было принято решение о прекращении действия лицензии.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Как пояс</w:t>
      </w:r>
      <w:r>
        <w:rPr>
          <w:rFonts w:ascii="PT Astra Serif" w:hAnsi="PT Astra Serif" w:cs="PT Astra Serif"/>
          <w:sz w:val="24"/>
          <w:szCs w:val="24"/>
        </w:rPr>
        <w:t xml:space="preserve">нила заместитель руководителя Управления Росреестра по Иркутской области Лариса Михайловна Варфоломеева, по состоянию на 1 июля 2025 года на территории Иркутской области действует 64 лицензии на осуществление геодезической и картографической деятельности. </w:t>
      </w:r>
      <w:r>
        <w:rPr>
          <w:rFonts w:ascii="PT Astra Serif" w:hAnsi="PT Astra Serif" w:cs="PT Astra Serif"/>
          <w:sz w:val="24"/>
          <w:szCs w:val="24"/>
        </w:rPr>
        <w:t xml:space="preserve">Из 64 лицензий 7 было выдано в 1 полугодии 2025 года.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Кстати, информация о выданных лицензиях доступна на официальном сайте Росреестра. Для этого нужно открыть раздел: Открытая служба/Статистика и аналитика/Иркутская область/ Лицензирование геодезической и картографической деятельности/2025.
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Вопросы по данной теме можно задать по справочному телефону Управления Росреестра по Иркутской области 89294311066.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48</cp:revision>
  <dcterms:created xsi:type="dcterms:W3CDTF">2024-02-13T03:39:00Z</dcterms:created>
  <dcterms:modified xsi:type="dcterms:W3CDTF">2025-08-06T02:45:03Z</dcterms:modified>
</cp:coreProperties>
</file>