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47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98"/>
        <w:gridCol w:w="6167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ind w:left="709" w:firstLine="0"/>
              <w:jc w:val="center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  <w:highlight w:val="none"/>
          <w:shd w:val="clear" w:color="auto" w:fill="ffffff"/>
        </w:rPr>
      </w:r>
      <w:r>
        <w:rPr>
          <w:rFonts w:ascii="Arial" w:hAnsi="Arial" w:cs="Arial"/>
          <w:color w:val="202122"/>
        </w:rPr>
      </w:r>
      <w:r>
        <w:rPr>
          <w:rFonts w:ascii="Arial" w:hAnsi="Arial" w:cs="Arial"/>
          <w:color w:val="202122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highlight w:val="none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19 февраля 2025 года</w:t>
      </w:r>
      <w:r>
        <w:rPr>
          <w:rFonts w:ascii="Arial" w:hAnsi="Arial" w:cs="Arial"/>
          <w:color w:val="202122"/>
          <w:highlight w:val="none"/>
          <w:shd w:val="clear" w:color="auto" w:fill="ffffff"/>
        </w:rPr>
      </w:r>
      <w:r>
        <w:rPr>
          <w:rFonts w:ascii="Arial" w:hAnsi="Arial" w:cs="Arial"/>
          <w:color w:val="202122"/>
          <w:highlight w:val="none"/>
          <w:shd w:val="clear" w:color="auto" w:fill="ffffff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/>
          <w:bCs/>
          <w:i w:val="0"/>
          <w:iCs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i w:val="0"/>
          <w:iCs w:val="0"/>
          <w:sz w:val="24"/>
          <w:szCs w:val="24"/>
          <w:highlight w:val="none"/>
        </w:rPr>
        <w:t xml:space="preserve">О работе  по погашению задолженности по заработной плате в регионе в 2024 году</w:t>
      </w:r>
      <w:r>
        <w:rPr>
          <w:rFonts w:ascii="Liberation Sans" w:hAnsi="Liberation Sans" w:cs="Liberation Sans"/>
          <w:b/>
          <w:bCs/>
          <w:i w:val="0"/>
          <w:iCs w:val="0"/>
          <w:sz w:val="24"/>
          <w:szCs w:val="24"/>
          <w:highlight w:val="none"/>
        </w:rPr>
        <w:t xml:space="preserve"> рассказали в Управлении Росреестра по Иркутской области</w:t>
      </w:r>
      <w:r>
        <w:rPr>
          <w:rFonts w:ascii="Liberation Sans" w:hAnsi="Liberation Sans" w:cs="Liberation Sans"/>
          <w:b/>
          <w:bCs/>
          <w:i w:val="0"/>
          <w:i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i w:val="0"/>
          <w:iCs w:val="0"/>
          <w:sz w:val="24"/>
          <w:szCs w:val="24"/>
          <w:highlight w:val="none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sz w:val="24"/>
          <w:szCs w:val="24"/>
          <w:lang w:val="en-US"/>
        </w:rPr>
        <w:t xml:space="preserve">В 2024 году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Управлением Росреестра по Иркутской област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и совместно с другими органами и организациями проводилась работа по снижению задолженн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  <w:t xml:space="preserve">ости по заработной плате в организациях-банкротах Иркутской области. Специалисты ведомства в течении года приняли участие в работе 10 заседаний Иркутской городской и Областной межведомственных комиссий по обеспечению прав граждан на вознаграждение за труд.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С целью повышения эффективности работы арбитражных управляющих в рамках погашения долгов по заработной плате в 2024 году Управлением Росреестра по Иркутской области осуществлялся мониторинг предприятий области, находящихся в 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процедуре банкротства, направлялись письма в саморегулируемых организации арбитражных управляющих о необходимости осуществления особого контроля за профессиональной деятельностью арбитражных управляющих, связанной с погашением образовавшейся задолженности.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Как отметил руководитель Управления Росреестра по Иркутской области Виктор Петрович Жердев, в результате проведенной ведомством совмест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t xml:space="preserve">ной работы с федеральными органами исполнительной власти, органами местного самоуправления, Прокуратурой Иркутской области, в 2024 году задолженность по заработной плате, в том числе, на предприятиях-банкротах была погашена на сумму свыше 100 млн. рублей.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/>
          <w:i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/>
          <w:i/>
          <w:sz w:val="24"/>
          <w:szCs w:val="24"/>
        </w:rPr>
      </w:r>
      <w:r>
        <w:rPr>
          <w:rFonts w:ascii="Liberation Sans" w:hAnsi="Liberation Sans" w:cs="Liberation Sans"/>
          <w:b w:val="0"/>
          <w:bCs/>
          <w:i/>
          <w:sz w:val="24"/>
          <w:szCs w:val="24"/>
        </w:rPr>
      </w:r>
    </w:p>
    <w:p>
      <w:pPr>
        <w:contextualSpacing/>
        <w:jc w:val="both"/>
        <w:spacing w:line="276" w:lineRule="auto"/>
        <w:tabs>
          <w:tab w:val="left" w:pos="567" w:leader="none"/>
        </w:tabs>
        <w:rPr>
          <w:rFonts w:ascii="Liberation Sans" w:hAnsi="Liberation Sans" w:cs="Liberation Sans"/>
          <w:b w:val="0"/>
          <w:bCs/>
          <w:i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i/>
          <w:iCs/>
          <w:sz w:val="24"/>
          <w:szCs w:val="24"/>
          <w:highlight w:val="none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cs="Liberation Sans"/>
          <w:b w:val="0"/>
          <w:bCs/>
          <w:i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/>
          <w:i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276" w:right="849" w:bottom="124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9"/>
    <w:next w:val="839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0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9"/>
    <w:next w:val="839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0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0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0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0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0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0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0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39"/>
    <w:next w:val="839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40"/>
    <w:link w:val="683"/>
    <w:uiPriority w:val="10"/>
    <w:rPr>
      <w:sz w:val="48"/>
      <w:szCs w:val="48"/>
    </w:rPr>
  </w:style>
  <w:style w:type="paragraph" w:styleId="685">
    <w:name w:val="Subtitle"/>
    <w:basedOn w:val="839"/>
    <w:next w:val="839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0"/>
    <w:link w:val="685"/>
    <w:uiPriority w:val="11"/>
    <w:rPr>
      <w:sz w:val="24"/>
      <w:szCs w:val="24"/>
    </w:rPr>
  </w:style>
  <w:style w:type="paragraph" w:styleId="687">
    <w:name w:val="Quote"/>
    <w:basedOn w:val="839"/>
    <w:next w:val="839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9"/>
    <w:next w:val="839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39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basedOn w:val="840"/>
    <w:link w:val="691"/>
    <w:uiPriority w:val="99"/>
  </w:style>
  <w:style w:type="paragraph" w:styleId="693">
    <w:name w:val="Footer"/>
    <w:basedOn w:val="839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basedOn w:val="840"/>
    <w:link w:val="693"/>
    <w:uiPriority w:val="99"/>
  </w:style>
  <w:style w:type="paragraph" w:styleId="695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Balloon Text"/>
    <w:basedOn w:val="839"/>
    <w:link w:val="8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840"/>
    <w:link w:val="843"/>
    <w:uiPriority w:val="99"/>
    <w:semiHidden/>
    <w:rPr>
      <w:rFonts w:ascii="Segoe UI" w:hAnsi="Segoe UI" w:cs="Segoe UI"/>
      <w:sz w:val="18"/>
      <w:szCs w:val="18"/>
    </w:rPr>
  </w:style>
  <w:style w:type="character" w:styleId="845">
    <w:name w:val="Hyperlink"/>
    <w:basedOn w:val="840"/>
    <w:uiPriority w:val="99"/>
    <w:unhideWhenUsed/>
    <w:rPr>
      <w:color w:val="0563c1" w:themeColor="hyperlink"/>
      <w:u w:val="single"/>
    </w:rPr>
  </w:style>
  <w:style w:type="paragraph" w:styleId="846">
    <w:name w:val="List Paragraph"/>
    <w:basedOn w:val="839"/>
    <w:uiPriority w:val="34"/>
    <w:qFormat/>
    <w:pPr>
      <w:contextualSpacing/>
      <w:ind w:left="720"/>
    </w:pPr>
  </w:style>
  <w:style w:type="table" w:styleId="847">
    <w:name w:val="Table Grid"/>
    <w:basedOn w:val="84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8" w:customStyle="1">
    <w:name w:val="object"/>
    <w:basedOn w:val="840"/>
  </w:style>
  <w:style w:type="paragraph" w:styleId="849">
    <w:name w:val="Normal (Web)"/>
    <w:basedOn w:val="83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>
    <w:name w:val="Strong"/>
    <w:basedOn w:val="840"/>
    <w:uiPriority w:val="22"/>
    <w:qFormat/>
    <w:rPr>
      <w:b/>
      <w:bCs/>
    </w:rPr>
  </w:style>
  <w:style w:type="character" w:styleId="851">
    <w:name w:val="Emphasis"/>
    <w:basedOn w:val="840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A271-3F20-4917-8D50-CA6169C8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25</cp:revision>
  <dcterms:created xsi:type="dcterms:W3CDTF">2024-04-26T03:24:00Z</dcterms:created>
  <dcterms:modified xsi:type="dcterms:W3CDTF">2025-02-19T02:55:35Z</dcterms:modified>
</cp:coreProperties>
</file>