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426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12  августа 2025</w:t>
      </w:r>
      <w:r>
        <w:rPr>
          <w:rFonts w:ascii="Arial" w:hAnsi="Arial" w:cs="Arial"/>
          <w:color w:val="202122"/>
          <w:shd w:val="clear" w:color="auto" w:fill="ffffff"/>
        </w:rPr>
        <w:t xml:space="preserve"> года</w:t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</w:p>
    <w:p>
      <w:pPr>
        <w:ind w:left="30" w:right="30" w:hanging="30"/>
        <w:jc w:val="both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highlight w:val="none"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ind w:left="30" w:right="30" w:hanging="30"/>
        <w:jc w:val="both"/>
        <w:spacing w:line="240" w:lineRule="auto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  <w:highlight w:val="none"/>
        </w:rPr>
        <w:t xml:space="preserve">Принцип «построил – оформи»</w:t>
      </w:r>
      <w:r>
        <w:rPr>
          <w:rFonts w:ascii="Arial" w:hAnsi="Arial" w:cs="Arial"/>
          <w:b/>
          <w:bCs/>
          <w:sz w:val="24"/>
          <w:szCs w:val="24"/>
          <w:highlight w:val="none"/>
        </w:rPr>
        <w:t xml:space="preserve"> начал действовать в Иркутской области</w:t>
      </w:r>
      <w:r>
        <w:rPr>
          <w:rFonts w:ascii="Arial" w:hAnsi="Arial" w:cs="Arial"/>
          <w:b/>
          <w:bCs/>
          <w:sz w:val="24"/>
          <w:szCs w:val="24"/>
          <w:highlight w:val="none"/>
        </w:rPr>
        <w:t xml:space="preserve"> при индивидуальном строительстве домов</w:t>
      </w:r>
      <w:r>
        <w:rPr>
          <w:rFonts w:ascii="Arial" w:hAnsi="Arial" w:cs="Arial"/>
          <w:b/>
          <w:bCs/>
          <w:sz w:val="24"/>
          <w:szCs w:val="24"/>
          <w:highlight w:val="none"/>
        </w:rPr>
      </w:r>
      <w:r>
        <w:rPr>
          <w:rFonts w:ascii="Arial" w:hAnsi="Arial" w:cs="Arial"/>
          <w:b/>
          <w:bCs/>
          <w:sz w:val="24"/>
          <w:szCs w:val="24"/>
          <w:highlight w:val="none"/>
        </w:rPr>
      </w:r>
    </w:p>
    <w:p>
      <w:pPr>
        <w:ind w:left="30" w:right="30" w:hanging="30"/>
        <w:jc w:val="both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ind w:left="0" w:right="30" w:firstLine="0"/>
        <w:jc w:val="both"/>
        <w:spacing w:line="276" w:lineRule="auto"/>
        <w:rPr>
          <w:rFonts w:ascii="Arial" w:hAnsi="Arial" w:cs="Arial"/>
          <w:b w:val="0"/>
          <w:bCs w:val="0"/>
          <w:sz w:val="24"/>
          <w:szCs w:val="24"/>
          <w:highlight w:val="none"/>
        </w:rPr>
      </w:pP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Согласно недавним изменениям в законодательстве, права на построенные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 объекты недвижимости должны быть зарегистрированы в Росреестре. Данные правила касаются и объектов индивидуальной жилой застройки. 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</w:p>
    <w:p>
      <w:pPr>
        <w:ind w:left="0" w:right="30" w:firstLine="0"/>
        <w:jc w:val="both"/>
        <w:spacing w:line="276" w:lineRule="auto"/>
        <w:rPr>
          <w:rFonts w:ascii="Arial" w:hAnsi="Arial" w:cs="Arial"/>
          <w:b w:val="0"/>
          <w:bCs w:val="0"/>
          <w:sz w:val="24"/>
          <w:szCs w:val="24"/>
          <w:highlight w:val="none"/>
        </w:rPr>
      </w:pP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Новые требования начали действовать с 1 марта 2025 года, при этом уже сейчас в регионе отмечается рост количества объектов индивидуального жилищного строительства, которые оформляются жителями официально.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</w:p>
    <w:p>
      <w:pPr>
        <w:ind w:left="0" w:right="30" w:firstLine="0"/>
        <w:jc w:val="both"/>
        <w:spacing w:line="276" w:lineRule="auto"/>
        <w:rPr>
          <w:rFonts w:ascii="Arial" w:hAnsi="Arial" w:cs="Arial"/>
          <w:b w:val="0"/>
          <w:bCs w:val="0"/>
          <w:sz w:val="24"/>
          <w:szCs w:val="24"/>
          <w:highlight w:val="none"/>
        </w:rPr>
      </w:pP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В Управлении Росреестра по Иркутской области подсчита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ли, что за первые 6 месяцев 2025 года в ЕГРН было учтено 7372 частных жилых дома. Это почти на 23 процента больше, чем  за аналогичный период прошлого года, когда на кадастровый учет было поставлено 6005 домов. Всего в 2024 году 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в ЕГРН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 было учтено  9445 индивидуальных жилых домов.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</w:p>
    <w:p>
      <w:pPr>
        <w:ind w:left="0" w:right="30" w:firstLine="0"/>
        <w:jc w:val="both"/>
        <w:spacing w:line="276" w:lineRule="auto"/>
        <w:rPr>
          <w:rFonts w:ascii="Arial" w:hAnsi="Arial" w:cs="Arial"/>
          <w:b w:val="0"/>
          <w:bCs w:val="0"/>
          <w:sz w:val="24"/>
          <w:szCs w:val="24"/>
          <w:highlight w:val="none"/>
        </w:rPr>
      </w:pP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Общая площадь учтенных в ЕГРН в 2025 году домов индивидуальной жилой застройки составила 990 335 кв.м.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Почти треть из них 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(2148)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 составляют жилые дома, расположенные на садовых участках.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</w:p>
    <w:p>
      <w:pPr>
        <w:ind w:left="0" w:right="30" w:firstLine="0"/>
        <w:jc w:val="both"/>
        <w:spacing w:line="276" w:lineRule="auto"/>
        <w:rPr>
          <w:rFonts w:ascii="Arial" w:hAnsi="Arial" w:cs="Arial"/>
          <w:b w:val="0"/>
          <w:bCs w:val="0"/>
          <w:sz w:val="24"/>
          <w:szCs w:val="24"/>
          <w:highlight w:val="none"/>
        </w:rPr>
      </w:pP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«У нас не первый год действует «дачная амнистия», которая позволяет  осуществлять индивидуальное жилищное строительство в упрощенном порядке без получения разрешительной документации, поэтому внесение в ЕГРН сведений о построенном доме и регистрация пра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в на него – это единственное официальное подтверждение его существования. Соблюдение требований закона необходимо прежде всего для защиты имущественных прав граждан», – отметил руководитель Управления Росреестра по Иркутской области Виктор Петрович Жердев.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</w:p>
    <w:p>
      <w:pPr>
        <w:ind w:left="0" w:right="30" w:firstLine="0"/>
        <w:jc w:val="both"/>
        <w:spacing w:line="276" w:lineRule="auto"/>
        <w:rPr>
          <w:rFonts w:ascii="Arial" w:hAnsi="Arial" w:cs="Arial"/>
          <w:b w:val="0"/>
          <w:bCs w:val="0"/>
          <w:sz w:val="24"/>
          <w:szCs w:val="24"/>
          <w:highlight w:val="none"/>
        </w:rPr>
      </w:pP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Особенностью индивидуальной жилой застройки в Иркутской области является преобладание деревянных домов. Из обще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го числа учтенных в 1-м полугодии 2025 года частных жилых домов имеют деревянные стены - 4074, блочные - 1383, монолитные - 745, кирпичные - 330. 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В основном построенные дома являются одно- и двухэтажными 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(3837 и 3256 соответственно)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  <w:t xml:space="preserve">. С максимальной этажностью (трехэтажных)  в ЕГРН учтено  всего 279 частных домов.</w:t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</w:p>
    <w:p>
      <w:pPr>
        <w:ind w:left="0" w:right="30" w:firstLine="0"/>
        <w:jc w:val="both"/>
        <w:spacing w:line="276" w:lineRule="auto"/>
        <w:rPr>
          <w:rFonts w:ascii="Arial" w:hAnsi="Arial" w:cs="Arial"/>
          <w:b w:val="0"/>
          <w:bCs w:val="0"/>
          <w:sz w:val="24"/>
          <w:szCs w:val="24"/>
          <w:highlight w:val="none"/>
        </w:rPr>
      </w:pP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Пресс-служба Управления </w:t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Росреестра</w:t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 по Иркутской области</w:t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bCs/>
          <w:i/>
          <w:color w:val="202122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bCs/>
          <w:i/>
          <w:color w:val="202122"/>
        </w:rPr>
      </w:r>
      <w:r>
        <w:rPr>
          <w:rFonts w:ascii="Arial" w:hAnsi="Arial" w:cs="Arial"/>
          <w:bCs/>
          <w:i/>
          <w:color w:val="202122"/>
        </w:rPr>
      </w:r>
    </w:p>
    <w:sectPr>
      <w:footnotePr/>
      <w:endnotePr/>
      <w:type w:val="nextPage"/>
      <w:pgSz w:w="11906" w:h="16838" w:orient="portrait"/>
      <w:pgMar w:top="709" w:right="849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40</cp:revision>
  <dcterms:created xsi:type="dcterms:W3CDTF">2022-05-25T09:41:00Z</dcterms:created>
  <dcterms:modified xsi:type="dcterms:W3CDTF">2025-08-12T01:18:19Z</dcterms:modified>
</cp:coreProperties>
</file>