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13 февраля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Комплексные кадастровые работы: более 22 тысяч участков и более 10 тысяч исправленных ошибок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Управление Росреестра по Иркутской области сообщает, что в 2024 году на территории 68 кадастровых кварталов Иркутского района были проведены комплексные кадастровые работы.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соответствии с законодательством комплексные кадастровые работы были выполнены одновременно в отношении всех объектов недвижимости, расположенных на этой значительной территории.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Нужно отметить, что комплексные кадастровые работы в 2024 году были проведены в отношении более чем 22 тысяч объектов недвижимости.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результате таких работ уточнялись границы земельных участков и местоположение на участках зданий, при необходимости образовывались земельные участки и исправлялись реестровые ошибки.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Итогом проведения комплексных кадастровых работ стало внесение в Единый государственный реестр недвижимости актуальных сведений о границах земельных участков, зданий, сооружений, объектов незавершенного строительства.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При этом</w:t>
      </w:r>
      <w:r>
        <w:rPr>
          <w:rFonts w:ascii="PT Astra Serif" w:hAnsi="PT Astra Serif" w:cs="PT Astra Serif"/>
          <w:sz w:val="24"/>
          <w:szCs w:val="24"/>
        </w:rPr>
        <w:t xml:space="preserve"> в ходе кадастровых работ иногда выявлялись случаи, когда границы и площадь участков и строений на них, указанные в документах на недвижимость, не соответствовали фактическому положению. В таком случае специалисты корректировали данные реестра недвижимости</w:t>
      </w:r>
      <w:r>
        <w:rPr>
          <w:rFonts w:ascii="PT Astra Serif" w:hAnsi="PT Astra Serif" w:cs="PT Astra Serif"/>
          <w:sz w:val="24"/>
          <w:szCs w:val="24"/>
        </w:rPr>
        <w:t xml:space="preserve"> так, чтобы данные реестра не расходились с фактическими границами и площадью участка и строений на нем.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Всего исправлено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более 10 тысяч ошибок (почти 7 тысяч по участкам и более 3,5 тысяч по строениям), кроме того, специалисты уточнили местоположение более 8 тысяч объектов недвижимости.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</w:t>
      </w:r>
      <w:r>
        <w:rPr>
          <w:rFonts w:ascii="PT Astra Serif" w:hAnsi="PT Astra Serif" w:cs="PT Astra Serif"/>
          <w:sz w:val="24"/>
          <w:szCs w:val="24"/>
        </w:rPr>
        <w:t xml:space="preserve">ак поясняет заместитель руководителя Управления Росреестра по Иркутской области Лариса Михайловна Варфоломеева, такая процедура действительно предусмотрена законодательством, она применяется при небольших изменениях конфигурации границ или площади участков</w:t>
      </w:r>
      <w:r>
        <w:rPr>
          <w:rFonts w:ascii="PT Astra Serif" w:hAnsi="PT Astra Serif" w:cs="PT Astra Serif"/>
          <w:sz w:val="24"/>
          <w:szCs w:val="24"/>
        </w:rPr>
        <w:t xml:space="preserve">. При этом соответствующие корректировки при необходимости вносятся и в данные о соседних участках, это значит, что в ходе таких работ устраняются все имеющиеся ошибки: противоречия, наложения границ участков и т.д.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Т</w:t>
      </w:r>
      <w:r>
        <w:rPr>
          <w:rFonts w:ascii="PT Astra Serif" w:hAnsi="PT Astra Serif" w:cs="PT Astra Serif"/>
          <w:sz w:val="24"/>
          <w:szCs w:val="24"/>
        </w:rPr>
        <w:t xml:space="preserve">аким образом, если вы обнаружили, что площадь вашего участка незначительно изменилась в ходе проведения комплексных кадастровых работ, не волнуйтесь, это следствие исправления накопившихся за долгие годы неточностей, то есть сведения о вашем и соседних уч</w:t>
      </w:r>
      <w:r>
        <w:rPr>
          <w:rFonts w:ascii="PT Astra Serif" w:hAnsi="PT Astra Serif" w:cs="PT Astra Serif"/>
          <w:sz w:val="24"/>
          <w:szCs w:val="24"/>
        </w:rPr>
        <w:t xml:space="preserve">астках приведены в соответствие фактически сложившейся на вашей территории ситуации.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25</cp:revision>
  <dcterms:created xsi:type="dcterms:W3CDTF">2024-02-13T03:39:00Z</dcterms:created>
  <dcterms:modified xsi:type="dcterms:W3CDTF">2025-02-12T01:45:05Z</dcterms:modified>
</cp:coreProperties>
</file>