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19 июня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Из каких земель состоит Иркутская область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b/>
          <w:bCs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Управлением Росреестра по Иркутской области ежегодно составляется отчет о наличии земель и распределении их по формам собственности, категориям, угодьям и пользователям.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Согласно актуальным данным отчета общая площадь земельного фонда в границах Иркутской области составляет 77 485 тыс. га.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При этом наибольшую площадь земель Иркутской области занимают земли лесного фонда - 69 325 тыс. га.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Второе и третье место по площади занимают земли  сельскохозяйственного назначения (2 868 тыс. га) и земли водного фонда (2 242 тыс. га).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Таким образом, почти 90 % территории Иркутской области занимают земли лесного фонда.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Земли сельскохозяйственного назначения занимают 3,7 % территории области, земли водного фонда - 2,9 %, земли особо охраняемых территорий - 2 %.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Остальные категории земель занимают менее одного процента площади нашей области: земли промышленности - 0,8 %, земли запаса - 0,6 %, земли населенных пунктов - 0,6 %.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</w:t>
      </w:r>
      <w:r>
        <w:rPr>
          <w:rFonts w:ascii="PT Astra Serif" w:hAnsi="PT Astra Serif" w:cs="PT Astra Serif"/>
          <w:sz w:val="24"/>
          <w:szCs w:val="24"/>
        </w:rPr>
        <w:t xml:space="preserve">ля справки: с отчетом можно ознакомиться на сайте Росреестра (www.rosreestr.ru) в региональной вкладке Управления в разделе Главная/ Открытая служба/Статистика и аналитика/Иркутская Область/ Землеустройство и мониторинг земель/Годовые статистические отчеты</w:t>
      </w:r>
      <w:r>
        <w:rPr>
          <w:rFonts w:ascii="PT Astra Serif" w:hAnsi="PT Astra Serif" w:cs="PT Astra Serif"/>
          <w:sz w:val="24"/>
          <w:szCs w:val="24"/>
        </w:rPr>
        <w:t xml:space="preserve"> «О наличии земель и распределении их по формам собственности, категориям, угодьям и пользователям в Иркутской области».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contextualSpacing w:val="0"/>
        <w:ind w:left="0" w:right="0" w:firstLine="0"/>
        <w:jc w:val="both"/>
        <w:spacing w:before="0" w:after="0" w:line="259" w:lineRule="auto"/>
        <w:rPr>
          <w:rFonts w:ascii="PT Astra Serif" w:hAnsi="PT Astra Serif" w:cs="PT Astra Serif"/>
          <w:sz w:val="16"/>
          <w:szCs w:val="16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11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34</cp:revision>
  <dcterms:created xsi:type="dcterms:W3CDTF">2024-02-13T03:39:00Z</dcterms:created>
  <dcterms:modified xsi:type="dcterms:W3CDTF">2025-06-19T02:20:02Z</dcterms:modified>
</cp:coreProperties>
</file>