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41"/>
        <w:tblW w:w="104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476"/>
        <w:gridCol w:w="5187"/>
        <w:gridCol w:w="3827"/>
      </w:tblGrid>
      <w:tr>
        <w:tblPrEx/>
        <w:trPr>
          <w:trHeight w:val="426"/>
        </w:trPr>
        <w:tc>
          <w:tcPr>
            <w:tcW w:w="14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187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>
          <w:trHeight w:val="426"/>
        </w:trPr>
        <w:tc>
          <w:tcPr>
            <w:tcW w:w="14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800100" cy="757240"/>
                      <wp:effectExtent l="0" t="0" r="0" b="5080"/>
                      <wp:docPr id="1" name="Рисунок 3" descr="C:\Users\gomanenko_gv\Desktop\Герб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C:\Users\gomanenko_gv\Desktop\Герб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15927" cy="8668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63.00pt;height:59.63pt;mso-wrap-distance-left:0.00pt;mso-wrap-distance-top:0.00pt;mso-wrap-distance-right:0.00pt;mso-wrap-distance-bottom:0.0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187" w:type="dxa"/>
            <w:textDirection w:val="lrTb"/>
            <w:noWrap w:val="false"/>
          </w:tcPr>
          <w:p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  <w:r>
              <w:rPr>
                <w:rFonts w:cs="Times New Roman"/>
                <w:b/>
                <w:sz w:val="24"/>
                <w:szCs w:val="24"/>
              </w:rPr>
            </w:r>
            <w:r>
              <w:rPr>
                <w:rFonts w:cs="Times New Roman"/>
                <w:b/>
                <w:sz w:val="24"/>
                <w:szCs w:val="24"/>
              </w:rPr>
            </w:r>
          </w:p>
          <w:p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  <w:r>
              <w:rPr>
                <w:rFonts w:cs="Times New Roman"/>
                <w:b/>
                <w:sz w:val="24"/>
                <w:szCs w:val="24"/>
              </w:rPr>
            </w:r>
            <w:r>
              <w:rPr>
                <w:rFonts w:cs="Times New Roman"/>
                <w:b/>
                <w:sz w:val="24"/>
                <w:szCs w:val="24"/>
              </w:rPr>
            </w:r>
          </w:p>
          <w:p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УПРАВЛЕНИЕ РОСРЕЕСТРА</w:t>
            </w:r>
            <w:r>
              <w:rPr>
                <w:rFonts w:cs="Times New Roman"/>
                <w:b/>
                <w:sz w:val="24"/>
                <w:szCs w:val="24"/>
              </w:rPr>
            </w:r>
            <w:r>
              <w:rPr>
                <w:rFonts w:cs="Times New Roman"/>
                <w:b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ПО ИРКУТСКОЙ ОБЛАСТИ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3827" w:type="dxa"/>
            <w:vMerge w:val="restart"/>
            <w:textDirection w:val="lrTb"/>
            <w:noWrap w:val="false"/>
          </w:tcPr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  <w:p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 </w:t>
            </w:r>
            <w:r>
              <w:rPr>
                <w:rFonts w:ascii="Arial" w:hAnsi="Arial" w:cs="Arial"/>
              </w:rPr>
              <w:t xml:space="preserve"> мая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2025</w:t>
            </w:r>
            <w:r>
              <w:rPr>
                <w:rFonts w:ascii="Arial" w:hAnsi="Arial" w:cs="Arial"/>
              </w:rPr>
              <w:t xml:space="preserve"> года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</w:tr>
      <w:tr>
        <w:tblPrEx/>
        <w:trPr>
          <w:trHeight w:val="601"/>
        </w:trPr>
        <w:tc>
          <w:tcPr>
            <w:tcW w:w="1476" w:type="dxa"/>
            <w:textDirection w:val="lrTb"/>
            <w:noWrap w:val="false"/>
          </w:tcPr>
          <w:p>
            <w:pPr>
              <w:ind w:firstLine="30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187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3827" w:type="dxa"/>
            <w:vMerge w:val="continue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</w:tbl>
    <w:p>
      <w:pPr>
        <w:contextualSpacing/>
        <w:jc w:val="both"/>
        <w:spacing w:after="0" w:line="240" w:lineRule="auto"/>
        <w:rPr>
          <w:rFonts w:ascii="Arial" w:hAnsi="Arial" w:eastAsia="Times New Roman" w:cs="Arial"/>
          <w:b/>
          <w:lang w:eastAsia="ru-RU"/>
        </w:rPr>
      </w:pPr>
      <w:r>
        <w:rPr>
          <w:rFonts w:ascii="Arial" w:hAnsi="Arial" w:eastAsia="Times New Roman" w:cs="Arial"/>
          <w:b/>
          <w:lang w:eastAsia="ru-RU"/>
        </w:rPr>
      </w:r>
      <w:r>
        <w:rPr>
          <w:rFonts w:ascii="Arial" w:hAnsi="Arial" w:eastAsia="Times New Roman" w:cs="Arial"/>
          <w:b/>
          <w:lang w:eastAsia="ru-RU"/>
        </w:rPr>
      </w:r>
      <w:r>
        <w:rPr>
          <w:rFonts w:ascii="Arial" w:hAnsi="Arial" w:eastAsia="Times New Roman" w:cs="Arial"/>
          <w:b/>
          <w:lang w:eastAsia="ru-RU"/>
        </w:rPr>
      </w:r>
    </w:p>
    <w:p>
      <w:pPr>
        <w:jc w:val="both"/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</w:p>
    <w:p>
      <w:pPr>
        <w:jc w:val="both"/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jc w:val="both"/>
        <w:spacing w:after="120" w:line="276" w:lineRule="auto"/>
        <w:rPr>
          <w:rFonts w:ascii="Liberation Sans" w:hAnsi="Liberation Sans" w:cs="Liberation Sans"/>
          <w:b/>
          <w:sz w:val="24"/>
          <w:szCs w:val="24"/>
        </w:rPr>
      </w:pPr>
      <w:r>
        <w:rPr>
          <w:rFonts w:ascii="Liberation Sans" w:hAnsi="Liberation Sans" w:eastAsia="Liberation Sans" w:cs="Liberation Sans"/>
          <w:b/>
          <w:sz w:val="24"/>
          <w:szCs w:val="24"/>
        </w:rPr>
        <w:t xml:space="preserve">Геодезические пункты времен Великой Отечественной войны обследовали специалисты Росреестра</w:t>
      </w:r>
      <w:r>
        <w:rPr>
          <w:rFonts w:ascii="Liberation Sans" w:hAnsi="Liberation Sans" w:eastAsia="Liberation Sans" w:cs="Liberation Sans"/>
          <w:b/>
          <w:sz w:val="24"/>
          <w:szCs w:val="24"/>
        </w:rPr>
      </w:r>
      <w:r>
        <w:rPr>
          <w:rFonts w:ascii="Liberation Sans" w:hAnsi="Liberation Sans" w:cs="Liberation Sans"/>
          <w:b/>
          <w:sz w:val="24"/>
          <w:szCs w:val="24"/>
        </w:rPr>
      </w:r>
    </w:p>
    <w:p>
      <w:pPr>
        <w:jc w:val="both"/>
        <w:spacing w:after="120" w:line="276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ans" w:cs="Liberation Sans"/>
          <w:sz w:val="24"/>
          <w:szCs w:val="24"/>
        </w:rPr>
      </w:r>
      <w:r>
        <w:rPr>
          <w:rFonts w:ascii="Liberation Sans" w:hAnsi="Liberation Sans" w:eastAsia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ind w:left="0" w:right="0" w:firstLine="0"/>
        <w:jc w:val="both"/>
        <w:spacing w:before="0" w:after="0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sz w:val="24"/>
          <w:szCs w:val="24"/>
        </w:rPr>
        <w:t xml:space="preserve">О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бследование  пунктов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 государственной геодезической, государственной нивелирной и государственной гравиметрической сетей, расположенных на территории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 Иркутской области, проводят специалисты регионального Росреестра.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  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В настоящее время ведется обследование пунктов г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осударственной нивелирной сети – главной высотной основы России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.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lang w:eastAsia="ru-RU"/>
        </w:rPr>
        <w:t xml:space="preserve">  Всего, на территории страны насчитывается порядка 800 тысяч нивелирных пунктов I-IV классов, при этом в Иркутской области их более 17 тысяч.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</w:p>
    <w:p>
      <w:pPr>
        <w:ind w:left="0" w:right="0" w:firstLine="0"/>
        <w:jc w:val="both"/>
        <w:spacing w:before="0" w:after="0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  <w:lang w:eastAsia="ru-RU"/>
        </w:rPr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</w:r>
    </w:p>
    <w:p>
      <w:pPr>
        <w:ind w:left="0" w:right="0" w:firstLine="0"/>
        <w:jc w:val="both"/>
        <w:spacing w:before="0" w:after="0"/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lang w:eastAsia="ru-RU"/>
        </w:rPr>
        <w:t xml:space="preserve">Нивелирная сеть служит высотной основой для проектирования и строительства, изучения вер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lang w:eastAsia="ru-RU"/>
        </w:rPr>
        <w:t xml:space="preserve">тикальных движений земной коры,  зданий и сооружений, а также высотной 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  <w:t xml:space="preserve">основой топографических съёмок и инженерно-геодезических работ, выполняемых для нужд экономики, науки и обороны страны. 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lang w:eastAsia="ru-RU"/>
        </w:rPr>
        <w:t xml:space="preserve">В городах пункты этой сети обозначают на местности нивелирными марками и реперами, которые закладывают в стены зданий и сооружений.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  <w:t xml:space="preserve"> Работа по созданию главной высотной основы страны в регионе велась и в годы Великой Отечественной войны. Так, в </w:t>
      </w:r>
      <w:r>
        <w:rPr>
          <w:rFonts w:ascii="Liberation Sans" w:hAnsi="Liberation Sans" w:eastAsia="Liberation Sans" w:cs="Liberation Sans"/>
          <w:color w:val="000000"/>
          <w:sz w:val="24"/>
          <w:szCs w:val="24"/>
          <w:lang w:eastAsia="ru-RU"/>
        </w:rPr>
        <w:t xml:space="preserve"> устое железно-дорожного моста через реку</w:t>
      </w:r>
      <w:r>
        <w:rPr>
          <w:rFonts w:ascii="Liberation Sans" w:hAnsi="Liberation Sans" w:eastAsia="Liberation Sans" w:cs="Liberation Sans"/>
          <w:color w:val="000000"/>
          <w:sz w:val="24"/>
          <w:szCs w:val="24"/>
          <w:lang w:eastAsia="ru-RU"/>
        </w:rPr>
        <w:t xml:space="preserve"> Вересовка, в 5 км юго-восточнее</w:t>
      </w:r>
      <w:r>
        <w:rPr>
          <w:rFonts w:ascii="Liberation Sans" w:hAnsi="Liberation Sans" w:eastAsia="Liberation Sans" w:cs="Liberation Sans"/>
          <w:color w:val="000000"/>
          <w:sz w:val="24"/>
          <w:szCs w:val="24"/>
          <w:lang w:eastAsia="ru-RU"/>
        </w:rPr>
        <w:t xml:space="preserve"> </w:t>
      </w:r>
      <w:r>
        <w:rPr>
          <w:rFonts w:ascii="Liberation Sans" w:hAnsi="Liberation Sans" w:eastAsia="Liberation Sans" w:cs="Liberation Sans"/>
          <w:color w:val="000000"/>
          <w:sz w:val="24"/>
          <w:szCs w:val="24"/>
          <w:lang w:eastAsia="ru-RU"/>
        </w:rPr>
        <w:t xml:space="preserve">станции</w:t>
      </w:r>
      <w:r>
        <w:rPr>
          <w:rFonts w:ascii="Liberation Sans" w:hAnsi="Liberation Sans" w:eastAsia="Liberation Sans" w:cs="Liberation Sans"/>
          <w:color w:val="000000"/>
          <w:sz w:val="24"/>
          <w:szCs w:val="24"/>
          <w:lang w:eastAsia="ru-RU"/>
        </w:rPr>
        <w:t xml:space="preserve"> </w:t>
      </w:r>
      <w:r>
        <w:rPr>
          <w:rFonts w:ascii="Liberation Sans" w:hAnsi="Liberation Sans" w:eastAsia="Liberation Sans" w:cs="Liberation Sans"/>
          <w:color w:val="000000"/>
          <w:sz w:val="24"/>
          <w:szCs w:val="24"/>
          <w:lang w:eastAsia="ru-RU"/>
        </w:rPr>
        <w:t xml:space="preserve">Мегет,</w:t>
      </w:r>
      <w:r>
        <w:rPr>
          <w:rFonts w:ascii="Liberation Sans" w:hAnsi="Liberation Sans" w:eastAsia="Liberation Sans" w:cs="Liberation Sans"/>
          <w:color w:val="000000"/>
          <w:sz w:val="24"/>
          <w:szCs w:val="24"/>
          <w:lang w:eastAsia="ru-RU"/>
        </w:rPr>
        <w:t xml:space="preserve"> специалистами обследованы пункты государственной нивелирной сети</w:t>
      </w:r>
      <w:r>
        <w:rPr>
          <w:rFonts w:ascii="Liberation Sans" w:hAnsi="Liberation Sans" w:eastAsia="Liberation Sans" w:cs="Liberation Sans"/>
          <w:color w:val="000000"/>
          <w:sz w:val="24"/>
          <w:szCs w:val="24"/>
          <w:lang w:eastAsia="ru-RU"/>
        </w:rPr>
        <w:t xml:space="preserve"> I класса</w:t>
      </w:r>
      <w:r>
        <w:rPr>
          <w:rFonts w:ascii="Liberation Sans" w:hAnsi="Liberation Sans" w:eastAsia="Liberation Sans" w:cs="Liberation Sans"/>
          <w:color w:val="000000"/>
          <w:sz w:val="24"/>
          <w:szCs w:val="24"/>
          <w:lang w:eastAsia="ru-RU"/>
        </w:rPr>
        <w:t xml:space="preserve"> - стенная марка № 986 и стенной репер № 2910</w:t>
      </w:r>
      <w:r>
        <w:rPr>
          <w:rFonts w:ascii="Liberation Sans" w:hAnsi="Liberation Sans" w:eastAsia="Liberation Sans" w:cs="Liberation Sans"/>
          <w:color w:val="000000"/>
          <w:sz w:val="24"/>
          <w:szCs w:val="24"/>
          <w:lang w:eastAsia="ru-RU"/>
        </w:rPr>
        <w:t xml:space="preserve">, которые были заложены в 1941 году</w:t>
      </w:r>
      <w:r>
        <w:rPr>
          <w:rFonts w:ascii="Liberation Sans" w:hAnsi="Liberation Sans" w:eastAsia="Liberation Sans" w:cs="Liberation Sans"/>
          <w:color w:val="000000"/>
          <w:sz w:val="24"/>
          <w:szCs w:val="24"/>
          <w:lang w:eastAsia="ru-RU"/>
        </w:rPr>
        <w:t xml:space="preserve">.</w:t>
      </w:r>
      <w:r>
        <w:rPr>
          <w:rFonts w:ascii="Liberation Sans" w:hAnsi="Liberation Sans" w:eastAsia="Liberation Sans" w:cs="Liberation Sans"/>
          <w:color w:val="000000"/>
          <w:sz w:val="24"/>
          <w:szCs w:val="24"/>
          <w:highlight w:val="none"/>
          <w:lang w:eastAsia="ru-RU"/>
        </w:rPr>
      </w:r>
      <w:r>
        <w:rPr>
          <w:rFonts w:ascii="Liberation Sans" w:hAnsi="Liberation Sans" w:eastAsia="Liberation Sans" w:cs="Liberation Sans"/>
          <w:color w:val="000000"/>
          <w:sz w:val="24"/>
          <w:szCs w:val="24"/>
          <w:highlight w:val="none"/>
          <w:lang w:eastAsia="ru-RU"/>
        </w:rPr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</w:r>
    </w:p>
    <w:p>
      <w:pPr>
        <w:ind w:left="0" w:right="0" w:firstLine="0"/>
        <w:jc w:val="both"/>
        <w:spacing w:before="0" w:after="0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</w:r>
    </w:p>
    <w:p>
      <w:pPr>
        <w:ind w:left="0" w:right="0" w:firstLine="0"/>
        <w:jc w:val="both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  <w:t xml:space="preserve">В 2025 году Управлением запланировано обследование 156 геодезических пунктов, из них - 84 пункта государственной геодезической сети, 68 пунктов государственной нивелирной сети и 4 пункта государственной гравиметрической сети.</w:t>
      </w:r>
      <w:r>
        <w:rPr>
          <w:rFonts w:ascii="Liberation Sans" w:hAnsi="Liberation Sans" w:eastAsia="Liberation Sans" w:cs="Liberation Sans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sz w:val="24"/>
          <w:szCs w:val="24"/>
        </w:rPr>
      </w:r>
    </w:p>
    <w:p>
      <w:pPr>
        <w:ind w:left="0" w:right="0" w:firstLine="0"/>
        <w:jc w:val="both"/>
        <w:spacing w:after="0" w:line="276" w:lineRule="auto"/>
        <w:rPr>
          <w:rFonts w:ascii="Liberation Sans" w:hAnsi="Liberation Sans" w:cs="Liberation Sans"/>
          <w:bCs/>
          <w:i/>
          <w:sz w:val="24"/>
          <w:szCs w:val="24"/>
        </w:rPr>
      </w:pPr>
      <w:r>
        <w:rPr>
          <w:rFonts w:ascii="Liberation Sans" w:hAnsi="Liberation Sans" w:cs="Liberation Sans"/>
          <w:i/>
          <w:sz w:val="24"/>
          <w:szCs w:val="24"/>
        </w:rPr>
      </w:r>
      <w:r>
        <w:rPr>
          <w:rFonts w:ascii="Liberation Sans" w:hAnsi="Liberation Sans" w:cs="Liberation Sans"/>
          <w:i/>
          <w:sz w:val="24"/>
          <w:szCs w:val="24"/>
        </w:rPr>
      </w:r>
    </w:p>
    <w:p>
      <w:pPr>
        <w:ind w:left="0" w:right="0" w:firstLine="0"/>
        <w:jc w:val="both"/>
        <w:spacing w:after="0" w:line="276" w:lineRule="auto"/>
        <w:rPr>
          <w:rFonts w:ascii="Liberation Sans" w:hAnsi="Liberation Sans" w:cs="Liberation Sans"/>
          <w:bCs/>
          <w:i/>
          <w:sz w:val="24"/>
          <w:szCs w:val="24"/>
        </w:rPr>
      </w:pPr>
      <w:r>
        <w:rPr>
          <w:rFonts w:ascii="Liberation Sans" w:hAnsi="Liberation Sans" w:eastAsia="Liberation Sans" w:cs="Liberation Sans"/>
          <w:i/>
          <w:sz w:val="24"/>
          <w:szCs w:val="24"/>
        </w:rPr>
      </w:r>
      <w:r>
        <w:rPr>
          <w:rFonts w:ascii="Liberation Sans" w:hAnsi="Liberation Sans" w:eastAsia="Liberation Sans" w:cs="Liberation Sans"/>
          <w:i/>
          <w:sz w:val="24"/>
          <w:szCs w:val="24"/>
        </w:rPr>
      </w:r>
      <w:r>
        <w:rPr>
          <w:rFonts w:ascii="Liberation Sans" w:hAnsi="Liberation Sans" w:cs="Liberation Sans"/>
          <w:bCs/>
          <w:i/>
          <w:sz w:val="24"/>
          <w:szCs w:val="24"/>
        </w:rPr>
      </w:r>
    </w:p>
    <w:p>
      <w:pPr>
        <w:ind w:left="0" w:right="0" w:firstLine="0"/>
        <w:jc w:val="both"/>
        <w:spacing w:after="0" w:line="276" w:lineRule="auto"/>
        <w:rPr>
          <w:rFonts w:ascii="Liberation Sans" w:hAnsi="Liberation Sans" w:cs="Liberation Sans"/>
          <w:i/>
          <w:sz w:val="24"/>
          <w:szCs w:val="24"/>
        </w:rPr>
      </w:pPr>
      <w:r>
        <w:rPr>
          <w:rFonts w:ascii="Liberation Sans" w:hAnsi="Liberation Sans" w:eastAsia="Liberation Sans" w:cs="Liberation Sans"/>
          <w:i/>
          <w:sz w:val="24"/>
          <w:szCs w:val="24"/>
        </w:rPr>
        <w:t xml:space="preserve">Пресс-служба Управления Росреестра по Иркутской области</w:t>
      </w:r>
      <w:bookmarkEnd w:id="0"/>
      <w:r>
        <w:rPr>
          <w:rFonts w:ascii="Liberation Sans" w:hAnsi="Liberation Sans" w:eastAsia="Liberation Sans" w:cs="Liberation Sans"/>
          <w:i/>
          <w:sz w:val="24"/>
          <w:szCs w:val="24"/>
        </w:rPr>
      </w:r>
      <w:r>
        <w:rPr>
          <w:rFonts w:ascii="Liberation Sans" w:hAnsi="Liberation Sans" w:cs="Liberation Sans"/>
          <w:i/>
          <w:sz w:val="24"/>
          <w:szCs w:val="24"/>
        </w:rPr>
      </w:r>
    </w:p>
    <w:p>
      <w:pPr>
        <w:spacing w:line="240" w:lineRule="auto"/>
        <w:tabs>
          <w:tab w:val="left" w:pos="567" w:leader="none"/>
        </w:tabs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ans" w:cs="Liberation Sans"/>
          <w:sz w:val="24"/>
          <w:szCs w:val="24"/>
        </w:rPr>
      </w:r>
      <w:r>
        <w:rPr>
          <w:rFonts w:ascii="Liberation Sans" w:hAnsi="Liberation Sans" w:eastAsia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sectPr>
      <w:footnotePr/>
      <w:endnotePr/>
      <w:type w:val="nextPage"/>
      <w:pgSz w:w="11906" w:h="16838" w:orient="portrait"/>
      <w:pgMar w:top="567" w:right="707" w:bottom="568" w:left="85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Liberation Sans">
    <w:panose1 w:val="020B0604020202020204"/>
  </w:font>
  <w:font w:name="Wingdings">
    <w:panose1 w:val="05010000000000000000"/>
  </w:font>
  <w:font w:name="Symbol">
    <w:panose1 w:val="05010000000000000000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"/>
      <w:lvlJc w:val="left"/>
      <w:pPr>
        <w:ind w:left="1440" w:hanging="360"/>
        <w:tabs>
          <w:tab w:val="num" w:pos="1440" w:leader="none"/>
        </w:tabs>
      </w:pPr>
      <w:rPr>
        <w:rFonts w:hint="default" w:ascii="Wingdings" w:hAnsi="Wingdings"/>
      </w:rPr>
    </w:lvl>
    <w:lvl w:ilvl="2">
      <w:start w:val="1"/>
      <w:numFmt w:val="bullet"/>
      <w:isLgl w:val="false"/>
      <w:suff w:val="tab"/>
      <w:lvlText w:val="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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</w:rPr>
    </w:lvl>
    <w:lvl w:ilvl="4">
      <w:start w:val="1"/>
      <w:numFmt w:val="bullet"/>
      <w:isLgl w:val="false"/>
      <w:suff w:val="tab"/>
      <w:lvlText w:val="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</w:rPr>
    </w:lvl>
    <w:lvl w:ilvl="5">
      <w:start w:val="1"/>
      <w:numFmt w:val="bullet"/>
      <w:isLgl w:val="false"/>
      <w:suff w:val="tab"/>
      <w:lvlText w:val="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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</w:rPr>
    </w:lvl>
    <w:lvl w:ilvl="7">
      <w:start w:val="1"/>
      <w:numFmt w:val="bullet"/>
      <w:isLgl w:val="false"/>
      <w:suff w:val="tab"/>
      <w:lvlText w:val="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</w:rPr>
    </w:lvl>
    <w:lvl w:ilvl="8">
      <w:start w:val="1"/>
      <w:numFmt w:val="bullet"/>
      <w:isLgl w:val="false"/>
      <w:suff w:val="tab"/>
      <w:lvlText w:val="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>
    <w:name w:val="Heading 1"/>
    <w:basedOn w:val="833"/>
    <w:next w:val="833"/>
    <w:link w:val="66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1">
    <w:name w:val="Heading 1 Char"/>
    <w:basedOn w:val="834"/>
    <w:link w:val="660"/>
    <w:uiPriority w:val="9"/>
    <w:rPr>
      <w:rFonts w:ascii="Arial" w:hAnsi="Arial" w:eastAsia="Arial" w:cs="Arial"/>
      <w:sz w:val="40"/>
      <w:szCs w:val="40"/>
    </w:rPr>
  </w:style>
  <w:style w:type="paragraph" w:styleId="662">
    <w:name w:val="Heading 2"/>
    <w:basedOn w:val="833"/>
    <w:next w:val="833"/>
    <w:link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3">
    <w:name w:val="Heading 2 Char"/>
    <w:basedOn w:val="834"/>
    <w:link w:val="662"/>
    <w:uiPriority w:val="9"/>
    <w:rPr>
      <w:rFonts w:ascii="Arial" w:hAnsi="Arial" w:eastAsia="Arial" w:cs="Arial"/>
      <w:sz w:val="34"/>
    </w:rPr>
  </w:style>
  <w:style w:type="paragraph" w:styleId="664">
    <w:name w:val="Heading 3"/>
    <w:basedOn w:val="833"/>
    <w:next w:val="833"/>
    <w:link w:val="6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5">
    <w:name w:val="Heading 3 Char"/>
    <w:basedOn w:val="834"/>
    <w:link w:val="664"/>
    <w:uiPriority w:val="9"/>
    <w:rPr>
      <w:rFonts w:ascii="Arial" w:hAnsi="Arial" w:eastAsia="Arial" w:cs="Arial"/>
      <w:sz w:val="30"/>
      <w:szCs w:val="30"/>
    </w:rPr>
  </w:style>
  <w:style w:type="paragraph" w:styleId="666">
    <w:name w:val="Heading 4"/>
    <w:basedOn w:val="833"/>
    <w:next w:val="833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7">
    <w:name w:val="Heading 4 Char"/>
    <w:basedOn w:val="834"/>
    <w:link w:val="666"/>
    <w:uiPriority w:val="9"/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833"/>
    <w:next w:val="833"/>
    <w:link w:val="6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9">
    <w:name w:val="Heading 5 Char"/>
    <w:basedOn w:val="834"/>
    <w:link w:val="668"/>
    <w:uiPriority w:val="9"/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833"/>
    <w:next w:val="833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1">
    <w:name w:val="Heading 6 Char"/>
    <w:basedOn w:val="834"/>
    <w:link w:val="670"/>
    <w:uiPriority w:val="9"/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833"/>
    <w:next w:val="833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7 Char"/>
    <w:basedOn w:val="834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833"/>
    <w:next w:val="833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5">
    <w:name w:val="Heading 8 Char"/>
    <w:basedOn w:val="834"/>
    <w:link w:val="674"/>
    <w:uiPriority w:val="9"/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833"/>
    <w:next w:val="833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>
    <w:name w:val="Heading 9 Char"/>
    <w:basedOn w:val="834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78">
    <w:name w:val="No Spacing"/>
    <w:uiPriority w:val="1"/>
    <w:qFormat/>
    <w:pPr>
      <w:spacing w:before="0" w:after="0" w:line="240" w:lineRule="auto"/>
    </w:pPr>
  </w:style>
  <w:style w:type="paragraph" w:styleId="679">
    <w:name w:val="Title"/>
    <w:basedOn w:val="833"/>
    <w:next w:val="833"/>
    <w:link w:val="68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0">
    <w:name w:val="Title Char"/>
    <w:basedOn w:val="834"/>
    <w:link w:val="679"/>
    <w:uiPriority w:val="10"/>
    <w:rPr>
      <w:sz w:val="48"/>
      <w:szCs w:val="48"/>
    </w:rPr>
  </w:style>
  <w:style w:type="paragraph" w:styleId="681">
    <w:name w:val="Subtitle"/>
    <w:basedOn w:val="833"/>
    <w:next w:val="833"/>
    <w:link w:val="682"/>
    <w:uiPriority w:val="11"/>
    <w:qFormat/>
    <w:pPr>
      <w:spacing w:before="200" w:after="200"/>
    </w:pPr>
    <w:rPr>
      <w:sz w:val="24"/>
      <w:szCs w:val="24"/>
    </w:rPr>
  </w:style>
  <w:style w:type="character" w:styleId="682">
    <w:name w:val="Subtitle Char"/>
    <w:basedOn w:val="834"/>
    <w:link w:val="681"/>
    <w:uiPriority w:val="11"/>
    <w:rPr>
      <w:sz w:val="24"/>
      <w:szCs w:val="24"/>
    </w:rPr>
  </w:style>
  <w:style w:type="paragraph" w:styleId="683">
    <w:name w:val="Quote"/>
    <w:basedOn w:val="833"/>
    <w:next w:val="833"/>
    <w:link w:val="684"/>
    <w:uiPriority w:val="29"/>
    <w:qFormat/>
    <w:pPr>
      <w:ind w:left="720" w:right="720"/>
    </w:pPr>
    <w:rPr>
      <w:i/>
    </w:rPr>
  </w:style>
  <w:style w:type="character" w:styleId="684">
    <w:name w:val="Quote Char"/>
    <w:link w:val="683"/>
    <w:uiPriority w:val="29"/>
    <w:rPr>
      <w:i/>
    </w:rPr>
  </w:style>
  <w:style w:type="paragraph" w:styleId="685">
    <w:name w:val="Intense Quote"/>
    <w:basedOn w:val="833"/>
    <w:next w:val="833"/>
    <w:link w:val="68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6">
    <w:name w:val="Intense Quote Char"/>
    <w:link w:val="685"/>
    <w:uiPriority w:val="30"/>
    <w:rPr>
      <w:i/>
    </w:rPr>
  </w:style>
  <w:style w:type="character" w:styleId="687">
    <w:name w:val="Header Char"/>
    <w:basedOn w:val="834"/>
    <w:link w:val="845"/>
    <w:uiPriority w:val="99"/>
  </w:style>
  <w:style w:type="character" w:styleId="688">
    <w:name w:val="Footer Char"/>
    <w:basedOn w:val="834"/>
    <w:link w:val="847"/>
    <w:uiPriority w:val="99"/>
  </w:style>
  <w:style w:type="paragraph" w:styleId="689">
    <w:name w:val="Caption"/>
    <w:basedOn w:val="833"/>
    <w:next w:val="8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0">
    <w:name w:val="Caption Char"/>
    <w:basedOn w:val="689"/>
    <w:link w:val="847"/>
    <w:uiPriority w:val="99"/>
  </w:style>
  <w:style w:type="table" w:styleId="691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0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1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2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3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4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5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7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8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9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0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1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2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4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5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6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7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8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9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6">
    <w:name w:val="footnote text"/>
    <w:basedOn w:val="83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basedOn w:val="834"/>
    <w:uiPriority w:val="99"/>
    <w:unhideWhenUsed/>
    <w:rPr>
      <w:vertAlign w:val="superscript"/>
    </w:rPr>
  </w:style>
  <w:style w:type="paragraph" w:styleId="819">
    <w:name w:val="endnote text"/>
    <w:basedOn w:val="83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basedOn w:val="834"/>
    <w:uiPriority w:val="99"/>
    <w:semiHidden/>
    <w:unhideWhenUsed/>
    <w:rPr>
      <w:vertAlign w:val="superscript"/>
    </w:rPr>
  </w:style>
  <w:style w:type="paragraph" w:styleId="822">
    <w:name w:val="toc 1"/>
    <w:basedOn w:val="833"/>
    <w:next w:val="833"/>
    <w:uiPriority w:val="39"/>
    <w:unhideWhenUsed/>
    <w:pPr>
      <w:ind w:left="0" w:right="0" w:firstLine="0"/>
      <w:spacing w:after="57"/>
    </w:pPr>
  </w:style>
  <w:style w:type="paragraph" w:styleId="823">
    <w:name w:val="toc 2"/>
    <w:basedOn w:val="833"/>
    <w:next w:val="833"/>
    <w:uiPriority w:val="39"/>
    <w:unhideWhenUsed/>
    <w:pPr>
      <w:ind w:left="283" w:right="0" w:firstLine="0"/>
      <w:spacing w:after="57"/>
    </w:pPr>
  </w:style>
  <w:style w:type="paragraph" w:styleId="824">
    <w:name w:val="toc 3"/>
    <w:basedOn w:val="833"/>
    <w:next w:val="833"/>
    <w:uiPriority w:val="39"/>
    <w:unhideWhenUsed/>
    <w:pPr>
      <w:ind w:left="567" w:right="0" w:firstLine="0"/>
      <w:spacing w:after="57"/>
    </w:pPr>
  </w:style>
  <w:style w:type="paragraph" w:styleId="825">
    <w:name w:val="toc 4"/>
    <w:basedOn w:val="833"/>
    <w:next w:val="833"/>
    <w:uiPriority w:val="39"/>
    <w:unhideWhenUsed/>
    <w:pPr>
      <w:ind w:left="850" w:right="0" w:firstLine="0"/>
      <w:spacing w:after="57"/>
    </w:pPr>
  </w:style>
  <w:style w:type="paragraph" w:styleId="826">
    <w:name w:val="toc 5"/>
    <w:basedOn w:val="833"/>
    <w:next w:val="833"/>
    <w:uiPriority w:val="39"/>
    <w:unhideWhenUsed/>
    <w:pPr>
      <w:ind w:left="1134" w:right="0" w:firstLine="0"/>
      <w:spacing w:after="57"/>
    </w:pPr>
  </w:style>
  <w:style w:type="paragraph" w:styleId="827">
    <w:name w:val="toc 6"/>
    <w:basedOn w:val="833"/>
    <w:next w:val="833"/>
    <w:uiPriority w:val="39"/>
    <w:unhideWhenUsed/>
    <w:pPr>
      <w:ind w:left="1417" w:right="0" w:firstLine="0"/>
      <w:spacing w:after="57"/>
    </w:pPr>
  </w:style>
  <w:style w:type="paragraph" w:styleId="828">
    <w:name w:val="toc 7"/>
    <w:basedOn w:val="833"/>
    <w:next w:val="833"/>
    <w:uiPriority w:val="39"/>
    <w:unhideWhenUsed/>
    <w:pPr>
      <w:ind w:left="1701" w:right="0" w:firstLine="0"/>
      <w:spacing w:after="57"/>
    </w:pPr>
  </w:style>
  <w:style w:type="paragraph" w:styleId="829">
    <w:name w:val="toc 8"/>
    <w:basedOn w:val="833"/>
    <w:next w:val="833"/>
    <w:uiPriority w:val="39"/>
    <w:unhideWhenUsed/>
    <w:pPr>
      <w:ind w:left="1984" w:right="0" w:firstLine="0"/>
      <w:spacing w:after="57"/>
    </w:pPr>
  </w:style>
  <w:style w:type="paragraph" w:styleId="830">
    <w:name w:val="toc 9"/>
    <w:basedOn w:val="833"/>
    <w:next w:val="833"/>
    <w:uiPriority w:val="39"/>
    <w:unhideWhenUsed/>
    <w:pPr>
      <w:ind w:left="2268" w:right="0" w:firstLine="0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833"/>
    <w:next w:val="833"/>
    <w:uiPriority w:val="99"/>
    <w:unhideWhenUsed/>
    <w:pPr>
      <w:spacing w:after="0" w:afterAutospacing="0"/>
    </w:pPr>
  </w:style>
  <w:style w:type="paragraph" w:styleId="833" w:default="1">
    <w:name w:val="Normal"/>
    <w:qFormat/>
  </w:style>
  <w:style w:type="character" w:styleId="834" w:default="1">
    <w:name w:val="Default Paragraph Font"/>
    <w:uiPriority w:val="1"/>
    <w:semiHidden/>
    <w:unhideWhenUsed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paragraph" w:styleId="837">
    <w:name w:val="Balloon Text"/>
    <w:basedOn w:val="833"/>
    <w:link w:val="83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8" w:customStyle="1">
    <w:name w:val="Текст выноски Знак"/>
    <w:basedOn w:val="834"/>
    <w:link w:val="837"/>
    <w:uiPriority w:val="99"/>
    <w:semiHidden/>
    <w:rPr>
      <w:rFonts w:ascii="Segoe UI" w:hAnsi="Segoe UI" w:cs="Segoe UI"/>
      <w:sz w:val="18"/>
      <w:szCs w:val="18"/>
    </w:rPr>
  </w:style>
  <w:style w:type="character" w:styleId="839">
    <w:name w:val="Hyperlink"/>
    <w:basedOn w:val="834"/>
    <w:uiPriority w:val="99"/>
    <w:unhideWhenUsed/>
    <w:rPr>
      <w:color w:val="0563c1" w:themeColor="hyperlink"/>
      <w:u w:val="single"/>
    </w:rPr>
  </w:style>
  <w:style w:type="paragraph" w:styleId="840">
    <w:name w:val="List Paragraph"/>
    <w:basedOn w:val="833"/>
    <w:uiPriority w:val="34"/>
    <w:qFormat/>
    <w:pPr>
      <w:contextualSpacing/>
      <w:ind w:left="720"/>
    </w:pPr>
  </w:style>
  <w:style w:type="table" w:styleId="841">
    <w:name w:val="Table Grid"/>
    <w:basedOn w:val="835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42" w:customStyle="1">
    <w:name w:val="object"/>
    <w:basedOn w:val="834"/>
  </w:style>
  <w:style w:type="paragraph" w:styleId="843">
    <w:name w:val="Normal (Web)"/>
    <w:basedOn w:val="833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4">
    <w:name w:val="Emphasis"/>
    <w:basedOn w:val="834"/>
    <w:uiPriority w:val="20"/>
    <w:qFormat/>
    <w:rPr>
      <w:i/>
      <w:iCs/>
    </w:rPr>
  </w:style>
  <w:style w:type="paragraph" w:styleId="845">
    <w:name w:val="Header"/>
    <w:basedOn w:val="833"/>
    <w:link w:val="84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6" w:customStyle="1">
    <w:name w:val="Верхний колонтитул Знак"/>
    <w:basedOn w:val="834"/>
    <w:link w:val="845"/>
    <w:uiPriority w:val="99"/>
  </w:style>
  <w:style w:type="paragraph" w:styleId="847">
    <w:name w:val="Footer"/>
    <w:basedOn w:val="833"/>
    <w:link w:val="84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8" w:customStyle="1">
    <w:name w:val="Нижний колонтитул Знак"/>
    <w:basedOn w:val="834"/>
    <w:link w:val="847"/>
    <w:uiPriority w:val="99"/>
  </w:style>
  <w:style w:type="paragraph" w:styleId="849">
    <w:name w:val="Body Text"/>
    <w:basedOn w:val="833"/>
    <w:link w:val="851"/>
    <w:pPr>
      <w:ind w:firstLine="851"/>
      <w:jc w:val="both"/>
      <w:spacing w:after="0" w:line="240" w:lineRule="auto"/>
      <w:widowControl w:val="off"/>
    </w:pPr>
    <w:rPr>
      <w:rFonts w:ascii="Arial" w:hAnsi="Arial" w:eastAsia="Times New Roman" w:cs="Arial"/>
      <w:sz w:val="24"/>
      <w:szCs w:val="20"/>
      <w:lang w:eastAsia="ru-RU"/>
    </w:rPr>
  </w:style>
  <w:style w:type="character" w:styleId="850" w:customStyle="1">
    <w:name w:val="Основной текст Знак"/>
    <w:basedOn w:val="834"/>
    <w:uiPriority w:val="99"/>
    <w:semiHidden/>
  </w:style>
  <w:style w:type="character" w:styleId="851" w:customStyle="1">
    <w:name w:val="Основной текст Знак1"/>
    <w:basedOn w:val="834"/>
    <w:link w:val="849"/>
    <w:rPr>
      <w:rFonts w:ascii="Arial" w:hAnsi="Arial" w:eastAsia="Times New Roman" w:cs="Arial"/>
      <w:sz w:val="24"/>
      <w:szCs w:val="20"/>
      <w:lang w:eastAsia="ru-RU"/>
    </w:rPr>
  </w:style>
  <w:style w:type="paragraph" w:styleId="852" w:customStyle="1">
    <w:name w:val="Обычный1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revision>9</cp:revision>
  <dcterms:created xsi:type="dcterms:W3CDTF">2023-05-03T23:51:00Z</dcterms:created>
  <dcterms:modified xsi:type="dcterms:W3CDTF">2025-05-12T02:50:56Z</dcterms:modified>
</cp:coreProperties>
</file>