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28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 xml:space="preserve">февраля</w:t>
      </w:r>
      <w:r>
        <w:rPr>
          <w:rFonts w:ascii="Arial" w:hAnsi="Arial" w:cs="Arial"/>
          <w:color w:val="202122"/>
          <w:shd w:val="clear" w:color="auto" w:fill="ffffff"/>
        </w:rPr>
        <w:t xml:space="preserve"> 202</w:t>
      </w:r>
      <w:r>
        <w:rPr>
          <w:rFonts w:ascii="Arial" w:hAnsi="Arial" w:cs="Arial"/>
          <w:color w:val="202122"/>
          <w:shd w:val="clear" w:color="auto" w:fill="ffffff"/>
        </w:rPr>
        <w:t xml:space="preserve">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</w:r>
      <w:r>
        <w:rPr>
          <w:rFonts w:ascii="Arial" w:hAnsi="Arial" w:cs="Arial"/>
          <w:b/>
          <w:color w:val="202122"/>
          <w:shd w:val="clear" w:color="auto" w:fill="ffffff"/>
        </w:rPr>
      </w:r>
      <w:r>
        <w:rPr>
          <w:rFonts w:ascii="Arial" w:hAnsi="Arial" w:cs="Arial"/>
          <w:b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sz w:val="24"/>
          <w:szCs w:val="24"/>
          <w:highlight w:val="none"/>
          <w:lang w:eastAsia="ru-RU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sz w:val="24"/>
          <w:szCs w:val="24"/>
          <w:lang w:eastAsia="ru-RU"/>
        </w:rPr>
        <w:t xml:space="preserve">Географические объекты Иркутской области: пещера Аргараканская</w:t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  <w:lang w:eastAsia="ru-RU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283"/>
        <w:jc w:val="both"/>
        <w:spacing w:before="0" w:line="276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4"/>
          <w:szCs w:val="24"/>
          <w:lang w:eastAsia="ru-RU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 Иркутской области, на севере Онотской возвышенности, расположена одна из живописных пещер Сибири — Аргараканская.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283"/>
        <w:jc w:val="both"/>
        <w:spacing w:before="0" w:line="276" w:lineRule="auto"/>
        <w:rPr>
          <w:rFonts w:ascii="Liberation Sans" w:hAnsi="Liberation Sans" w:cs="Liberation San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Пещера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находится в Качугском районе, в 69 километрах к юго-востоку от посёлка Качуг,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 северной части Онотской возвышенности в междуречье реки Ангаракан и ее правого притока ручья Марикта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. Это карстовая пещера, образованная в известняках и до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ломитах, с о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бщей протяжённостью ходов более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8,5 километров и глубиной до 57 метров.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283"/>
        <w:jc w:val="both"/>
        <w:spacing w:before="0" w:line="276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По одной из гипотез название «Аргараканская» происходит от реки Ангаракан, на которой она расположена.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Авторы первой публикации о пещере намеревались назвать её по имени реки, но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в начале прошлого века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на выкопировке чертёжник  допустил описку, и пещера была описана как Аргараканская.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/>
        <w:ind w:left="0" w:right="0" w:firstLine="283"/>
        <w:jc w:val="both"/>
        <w:spacing w:before="0" w:line="276" w:lineRule="auto"/>
        <w:rPr>
          <w:rFonts w:ascii="Liberation Sans" w:hAnsi="Liberation Sans" w:cs="Liberation Sans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 пещере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 наблюдается большое количество разнообразных натечных образований — сталактиты, сталагмиты, белоснежные кальцитовые коры, кораллиты, «сталактитовый дождь». Она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состоит из трёх этажей, каждый из которых представляет собой систему гротов, залов и узких ходов. Особый интерес представляют натёчные образования кальцита, которые принимают причудливые формы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. Среди них выделяются такие известные образования, как «Медуза», «Дед Мороз» и «Гномик». 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 </w:t>
      </w:r>
      <w:r>
        <w:rPr>
          <w:rFonts w:ascii="Liberation Sans" w:hAnsi="Liberation Sans" w:cs="Liberation Sans"/>
          <w:color w:val="000000"/>
          <w:sz w:val="24"/>
          <w:szCs w:val="24"/>
          <w14:ligatures w14:val="none"/>
        </w:rPr>
      </w:r>
      <w:r>
        <w:rPr>
          <w:rFonts w:ascii="Liberation Sans" w:hAnsi="Liberation Sans" w:cs="Liberation Sans"/>
          <w:color w:val="000000"/>
          <w:sz w:val="24"/>
          <w:szCs w:val="24"/>
          <w14:ligatures w14:val="none"/>
        </w:rPr>
      </w:r>
    </w:p>
    <w:p>
      <w:pPr>
        <w:contextualSpacing/>
        <w:ind w:left="0" w:right="0" w:firstLine="283"/>
        <w:jc w:val="both"/>
        <w:spacing w:before="0" w:line="276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Одной из главных достопримечательностей пещеры является сталактитовый дождь — сотни сталактитов длиной до 40 сантиметров, создающих впечатление подземного водопада. Также здесь можно увидеть сталагмиты, образующие причудливые композиции, и ледяные кристалл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ы, которые в зимнее время превращают некоторые залы в настоящие ледяные дворцы.  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283"/>
        <w:jc w:val="both"/>
        <w:spacing w:before="0" w:line="276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Пещера Аргараканская является домом для редких видов летучих мышей, обладающих высокой чувствительностью к изменениям окружающей среды,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что делает защиту их среды обитания особенно важной для сохранения биоразнообразия региона.  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283"/>
        <w:jc w:val="both"/>
        <w:spacing w:before="0" w:line="276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 2024 году пещера получила статус памятника природы регионального значения.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/>
        <w:ind w:left="0" w:right="0" w:firstLine="283"/>
        <w:jc w:val="both"/>
        <w:spacing w:before="0" w:after="0" w:line="276" w:lineRule="auto"/>
        <w:rPr>
          <w:rFonts w:ascii="Liberation Sans" w:hAnsi="Liberation Sans" w:cs="Liberation San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292c2f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292c2f"/>
          <w:sz w:val="28"/>
          <w:szCs w:val="28"/>
        </w:rPr>
      </w:r>
      <w:r>
        <w:rPr>
          <w:rFonts w:ascii="Liberation Sans" w:hAnsi="Liberation Sans" w:cs="Liberation Sans"/>
          <w:color w:val="292c2f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i/>
          <w:iCs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</w:rPr>
        <w:t xml:space="preserve">Источник фото: </w:t>
      </w: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</w:rPr>
        <w:t xml:space="preserve">личный архив сотрудника Управления Виктора Юрьевича </w:t>
      </w: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</w:rPr>
        <w:t xml:space="preserve">Распопова</w:t>
      </w: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</w:rPr>
        <w:t xml:space="preserve">.</w:t>
      </w:r>
      <w:r>
        <w:rPr>
          <w:rFonts w:ascii="Liberation Sans" w:hAnsi="Liberation Sans" w:cs="Liberation Sans"/>
          <w:i/>
          <w:iCs/>
          <w:color w:val="292c2f"/>
          <w:sz w:val="28"/>
          <w:szCs w:val="28"/>
          <w:highlight w:val="none"/>
        </w:rPr>
      </w:r>
      <w:r>
        <w:rPr>
          <w:rFonts w:ascii="Liberation Sans" w:hAnsi="Liberation Sans" w:cs="Liberation Sans"/>
          <w:i/>
          <w:iCs/>
          <w:color w:val="292c2f"/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lang w:eastAsia="ru-RU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i/>
          <w:sz w:val="24"/>
          <w:szCs w:val="24"/>
        </w:rPr>
      </w:pPr>
      <w:r>
        <w:rPr>
          <w:rFonts w:ascii="Liberation Sans" w:hAnsi="Liberation Sans" w:eastAsia="Liberation Sans" w:cs="Liberation Sans"/>
          <w:i/>
          <w:sz w:val="24"/>
          <w:szCs w:val="24"/>
        </w:rPr>
        <w:t xml:space="preserve">Пресс-служба Управления </w:t>
      </w:r>
      <w:r>
        <w:rPr>
          <w:rFonts w:ascii="Liberation Sans" w:hAnsi="Liberation Sans" w:eastAsia="Liberation Sans" w:cs="Liberation Sans"/>
          <w:i/>
          <w:sz w:val="24"/>
          <w:szCs w:val="24"/>
        </w:rPr>
        <w:t xml:space="preserve">Росреестра</w:t>
      </w:r>
      <w:r>
        <w:rPr>
          <w:rFonts w:ascii="Liberation Sans" w:hAnsi="Liberation Sans" w:eastAsia="Liberation Sans" w:cs="Liberation Sans"/>
          <w:i/>
          <w:sz w:val="24"/>
          <w:szCs w:val="24"/>
        </w:rPr>
        <w:t xml:space="preserve"> по Иркутской области  </w:t>
      </w:r>
      <w:r>
        <w:rPr>
          <w:rFonts w:ascii="Liberation Sans" w:hAnsi="Liberation Sans" w:eastAsia="Liberation Sans" w:cs="Liberation Sans"/>
          <w:i/>
          <w:sz w:val="24"/>
          <w:szCs w:val="24"/>
        </w:rPr>
        <w:t xml:space="preserve">  </w:t>
      </w:r>
      <w:r>
        <w:rPr>
          <w:rFonts w:ascii="Liberation Sans" w:hAnsi="Liberation Sans" w:cs="Liberation Sans"/>
          <w:i/>
          <w:sz w:val="24"/>
          <w:szCs w:val="24"/>
        </w:rPr>
      </w:r>
      <w:r>
        <w:rPr>
          <w:rFonts w:ascii="Liberation Sans" w:hAnsi="Liberation Sans" w:cs="Liberation Sans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17</cp:revision>
  <dcterms:created xsi:type="dcterms:W3CDTF">2022-09-20T06:19:00Z</dcterms:created>
  <dcterms:modified xsi:type="dcterms:W3CDTF">2025-02-28T01:12:34Z</dcterms:modified>
</cp:coreProperties>
</file>