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7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>
        <w:tblPrEx/>
        <w:trPr>
          <w:trHeight w:val="426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  <w:r>
              <w:rPr>
                <w:rFonts w:ascii="Inter V" w:hAnsi="Inter V" w:cs="Times New Roman"/>
                <w:b/>
                <w:sz w:val="28"/>
                <w:szCs w:val="28"/>
              </w:rPr>
            </w:r>
            <w:r>
              <w:rPr>
                <w:rFonts w:ascii="Inter V" w:hAnsi="Inter V" w:cs="Times New Roman"/>
                <w:b/>
                <w:sz w:val="28"/>
                <w:szCs w:val="28"/>
              </w:rPr>
            </w:r>
            <w:r>
              <w:rPr>
                <w:rFonts w:ascii="Inter V" w:hAnsi="Inter V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6780" cy="942975"/>
                      <wp:effectExtent l="0" t="0" r="2540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1727" cy="966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75.34pt;height:74.25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8 сентября 2025</w:t>
      </w:r>
      <w:r>
        <w:rPr>
          <w:rFonts w:ascii="Arial" w:hAnsi="Arial" w:cs="Arial"/>
          <w:color w:val="202122"/>
          <w:shd w:val="clear" w:color="auto" w:fill="ffffff"/>
        </w:rPr>
        <w:t xml:space="preserve"> года</w:t>
      </w: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</w:p>
    <w:p>
      <w:pPr>
        <w:ind w:left="30" w:right="30" w:hanging="30"/>
        <w:jc w:val="both"/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highlight w:val="none"/>
        </w:rPr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jc w:val="both"/>
        <w:spacing w:after="0" w:line="240" w:lineRule="auto"/>
        <w:rPr>
          <w:b/>
          <w:bCs/>
        </w:rPr>
      </w:pPr>
      <w:r>
        <w:rPr>
          <w:rFonts w:ascii="PT Astra Serif" w:hAnsi="PT Astra Serif" w:cs="PT Astra Serif"/>
          <w:b/>
          <w:bCs/>
          <w:color w:val="202122"/>
          <w:sz w:val="24"/>
          <w:szCs w:val="24"/>
        </w:rPr>
        <w:t xml:space="preserve">Востребована ли «гаражная амнистия» в Иркутской области?</w:t>
      </w:r>
      <w:r>
        <w:rPr>
          <w:rFonts w:ascii="PT Astra Serif" w:hAnsi="PT Astra Serif" w:cs="PT Astra Serif"/>
          <w:b/>
          <w:bCs/>
          <w:color w:val="202122"/>
          <w:sz w:val="24"/>
          <w:szCs w:val="24"/>
        </w:rPr>
      </w:r>
    </w:p>
    <w:p>
      <w:pPr>
        <w:jc w:val="both"/>
        <w:spacing w:after="0" w:line="240" w:lineRule="auto"/>
      </w:pPr>
      <w:r>
        <w:rPr>
          <w:rFonts w:ascii="PT Astra Serif" w:hAnsi="PT Astra Serif" w:cs="PT Astra Serif"/>
          <w:color w:val="202122"/>
          <w:sz w:val="24"/>
          <w:szCs w:val="24"/>
        </w:rPr>
      </w:r>
      <w:r>
        <w:rPr>
          <w:rFonts w:ascii="PT Astra Serif" w:hAnsi="PT Astra Serif" w:cs="PT Astra Serif"/>
          <w:color w:val="202122"/>
          <w:sz w:val="24"/>
          <w:szCs w:val="24"/>
        </w:rPr>
      </w:r>
    </w:p>
    <w:p>
      <w:pPr>
        <w:contextualSpacing w:val="0"/>
        <w:jc w:val="both"/>
        <w:spacing w:before="0" w:after="113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С 1 сентября 2021 года в России действует «гаражная амнистия» – упрощенный порядок получения права собственности на гаражные боксы и земельные участки под ними.</w:t>
      </w:r>
      <w:r>
        <w:rPr>
          <w:rFonts w:ascii="PT Astra Serif" w:hAnsi="PT Astra Serif" w:cs="PT Astra Serif"/>
          <w:color w:val="202122"/>
          <w:sz w:val="24"/>
          <w:szCs w:val="24"/>
        </w:rPr>
      </w:r>
    </w:p>
    <w:p>
      <w:pPr>
        <w:contextualSpacing w:val="0"/>
        <w:jc w:val="both"/>
        <w:spacing w:before="0" w:after="113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За 8 месяцев 2025 года жители Приангарья оформили право собственности на 700  гаражных боксов и на 1875 участков под ними.</w:t>
      </w:r>
      <w:r>
        <w:rPr>
          <w:rFonts w:ascii="PT Astra Serif" w:hAnsi="PT Astra Serif" w:cs="PT Astra Serif"/>
          <w:color w:val="202122"/>
          <w:sz w:val="24"/>
          <w:szCs w:val="24"/>
        </w:rPr>
      </w:r>
    </w:p>
    <w:p>
      <w:pPr>
        <w:contextualSpacing w:val="0"/>
        <w:jc w:val="both"/>
        <w:spacing w:before="0" w:after="113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Всего же за четыре года действия «гаражной амнистии» жители Иркутской области уже оформили в упрощенном порядке более 14 тысяч прав на гаражные боксы и земельные участки под ними. Общая площадь таких земель составила почти 269 тысяч квадратных метров.</w:t>
      </w:r>
      <w:r>
        <w:rPr>
          <w:rFonts w:ascii="PT Astra Serif" w:hAnsi="PT Astra Serif" w:cs="PT Astra Serif"/>
          <w:color w:val="202122"/>
          <w:sz w:val="24"/>
          <w:szCs w:val="24"/>
        </w:rPr>
      </w:r>
    </w:p>
    <w:p>
      <w:pPr>
        <w:contextualSpacing w:val="0"/>
        <w:jc w:val="both"/>
        <w:spacing w:before="0" w:after="113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Как поясняет заместитель руководителя Управления Росреестра по Иркутской области Оксана Викторовна Арсентьева, чтобы воспользоваться «гаражной амнистией», владельцу гаража нужно обратиться в администрацию по месту нахождения гаража с заявлением о предоставл</w:t>
      </w:r>
      <w:r>
        <w:rPr>
          <w:rFonts w:ascii="PT Astra Serif" w:hAnsi="PT Astra Serif" w:cs="PT Astra Serif"/>
          <w:color w:val="202122"/>
          <w:sz w:val="24"/>
          <w:szCs w:val="24"/>
        </w:rPr>
        <w:t xml:space="preserve">ении земельного участка под существующим гаражом. К заявлению нужно будет приложить любой документ, который подтверждает факт владения гаражом, например, справку о полной выплате паевых взносов.</w:t>
      </w:r>
      <w:r>
        <w:rPr>
          <w:rFonts w:ascii="PT Astra Serif" w:hAnsi="PT Astra Serif" w:cs="PT Astra Serif"/>
          <w:color w:val="202122"/>
          <w:sz w:val="24"/>
          <w:szCs w:val="24"/>
        </w:rPr>
      </w:r>
    </w:p>
    <w:p>
      <w:pPr>
        <w:contextualSpacing w:val="0"/>
        <w:jc w:val="both"/>
        <w:spacing w:before="0" w:after="113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Для оформления документов также может потребоваться межевой план на участок и технический план на гаражный бокс (если объекты ранее не ставились на государственный кадастровый учет). Межевой и технический план поможет подготовить кадастровый инженер.</w:t>
      </w:r>
      <w:r>
        <w:rPr>
          <w:rFonts w:ascii="PT Astra Serif" w:hAnsi="PT Astra Serif" w:cs="PT Astra Serif"/>
          <w:color w:val="202122"/>
          <w:sz w:val="24"/>
          <w:szCs w:val="24"/>
        </w:rPr>
      </w:r>
    </w:p>
    <w:p>
      <w:pPr>
        <w:contextualSpacing w:val="0"/>
        <w:jc w:val="both"/>
        <w:spacing w:before="0" w:after="113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В случае принятия органом местного самоуправления решения о предоставлении земельного участка, регистрация права собственности гражданина будет проведена даже без участия гражданина - по заявлению местной администрации.</w:t>
      </w:r>
      <w:r>
        <w:rPr>
          <w:rFonts w:ascii="PT Astra Serif" w:hAnsi="PT Astra Serif" w:cs="PT Astra Serif"/>
          <w:color w:val="202122"/>
          <w:sz w:val="24"/>
          <w:szCs w:val="24"/>
        </w:rPr>
      </w:r>
    </w:p>
    <w:p>
      <w:pPr>
        <w:contextualSpacing w:val="0"/>
        <w:jc w:val="both"/>
        <w:spacing w:before="0" w:after="113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«Гаражная амнистия» позволяет зарегистрировать право собственности на гаражи и участки под ними с помощью документов, которые ранее для этого не подходили. Речь идет о таких документах, как справки об оплате коммунальных услуг по гаражу, договор о подключен</w:t>
      </w:r>
      <w:r>
        <w:rPr>
          <w:rFonts w:ascii="PT Astra Serif" w:hAnsi="PT Astra Serif" w:cs="PT Astra Serif"/>
          <w:color w:val="202122"/>
          <w:sz w:val="24"/>
          <w:szCs w:val="24"/>
        </w:rPr>
        <w:t xml:space="preserve">ии гаража к сетям инженерно-технического обеспечения, документы о технической инвентаризации и другие документы, подтверждающие факт пользования гаражом.</w:t>
      </w:r>
      <w:r>
        <w:rPr>
          <w:rFonts w:ascii="PT Astra Serif" w:hAnsi="PT Astra Serif" w:cs="PT Astra Serif"/>
          <w:color w:val="202122"/>
          <w:sz w:val="24"/>
          <w:szCs w:val="24"/>
        </w:rPr>
      </w:r>
    </w:p>
    <w:p>
      <w:pPr>
        <w:contextualSpacing w:val="0"/>
        <w:jc w:val="both"/>
        <w:spacing w:before="0" w:after="113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Упрощенный порядок ранее распространялся только на одноэтажные гаражи. Теперь же можно зарегистрировать свое право как на двух- и более этажные блокированные гаражи (боксы) как на самостоятельный объект недвижимости, так и на земельный участок под такими бо</w:t>
      </w:r>
      <w:r>
        <w:rPr>
          <w:rFonts w:ascii="PT Astra Serif" w:hAnsi="PT Astra Serif" w:cs="PT Astra Serif"/>
          <w:color w:val="202122"/>
          <w:sz w:val="24"/>
          <w:szCs w:val="24"/>
        </w:rPr>
        <w:t xml:space="preserve">ксами.</w:t>
      </w:r>
      <w:r>
        <w:rPr>
          <w:rFonts w:ascii="PT Astra Serif" w:hAnsi="PT Astra Serif" w:cs="PT Astra Serif"/>
          <w:color w:val="202122"/>
          <w:sz w:val="24"/>
          <w:szCs w:val="24"/>
        </w:rPr>
      </w:r>
    </w:p>
    <w:p>
      <w:pPr>
        <w:contextualSpacing w:val="0"/>
        <w:jc w:val="both"/>
        <w:spacing w:before="0" w:after="113" w:line="240" w:lineRule="auto"/>
        <w:rPr>
          <w:rFonts w:ascii="PT Astra Serif" w:hAnsi="PT Astra Serif" w:cs="PT Astra Serif"/>
          <w:color w:val="202122"/>
          <w:sz w:val="24"/>
          <w:szCs w:val="24"/>
        </w:rPr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Ваши вопросы по данной теме можно задать по справочному телефону Управления Росреестра по Иркутской области 8(3952) 450-150.</w:t>
      </w:r>
      <w:r>
        <w:rPr>
          <w:rFonts w:ascii="PT Astra Serif" w:hAnsi="PT Astra Serif" w:cs="PT Astra Serif"/>
          <w:color w:val="202122"/>
          <w:sz w:val="24"/>
          <w:szCs w:val="24"/>
        </w:rPr>
      </w:r>
      <w:r>
        <w:rPr>
          <w:rFonts w:ascii="PT Astra Serif" w:hAnsi="PT Astra Serif" w:cs="PT Astra Serif"/>
          <w:color w:val="202122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color w:val="202122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</w:r>
    </w:p>
    <w:p>
      <w:pPr>
        <w:jc w:val="both"/>
        <w:spacing w:after="0" w:line="240" w:lineRule="auto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PT Astra Serif" w:hAnsi="PT Astra Serif" w:cs="PT Astra Serif"/>
          <w:i/>
          <w:color w:val="202122"/>
          <w:sz w:val="24"/>
          <w:szCs w:val="24"/>
          <w:shd w:val="clear" w:color="auto" w:fill="ffffff"/>
        </w:rPr>
      </w:pPr>
      <w:r>
        <w:rPr>
          <w:rFonts w:ascii="PT Astra Serif" w:hAnsi="PT Astra Serif" w:eastAsia="PT Astra Serif" w:cs="PT Astra Serif"/>
          <w:i/>
          <w:color w:val="202122"/>
          <w:sz w:val="24"/>
          <w:szCs w:val="24"/>
          <w:shd w:val="clear" w:color="auto" w:fill="ffffff"/>
        </w:rPr>
        <w:t xml:space="preserve">Пресс-служба Управления </w:t>
      </w:r>
      <w:r>
        <w:rPr>
          <w:rFonts w:ascii="PT Astra Serif" w:hAnsi="PT Astra Serif" w:eastAsia="PT Astra Serif" w:cs="PT Astra Serif"/>
          <w:i/>
          <w:color w:val="202122"/>
          <w:sz w:val="24"/>
          <w:szCs w:val="24"/>
          <w:shd w:val="clear" w:color="auto" w:fill="ffffff"/>
        </w:rPr>
        <w:t xml:space="preserve">Росреестра</w:t>
      </w:r>
      <w:r>
        <w:rPr>
          <w:rFonts w:ascii="PT Astra Serif" w:hAnsi="PT Astra Serif" w:eastAsia="PT Astra Serif" w:cs="PT Astra Serif"/>
          <w:i/>
          <w:color w:val="202122"/>
          <w:sz w:val="24"/>
          <w:szCs w:val="24"/>
          <w:shd w:val="clear" w:color="auto" w:fill="ffffff"/>
        </w:rPr>
        <w:t xml:space="preserve"> по Иркутской области</w:t>
      </w:r>
      <w:r>
        <w:rPr>
          <w:rFonts w:ascii="PT Astra Serif" w:hAnsi="PT Astra Serif" w:cs="PT Astra Serif"/>
          <w:i/>
          <w:color w:val="202122"/>
          <w:sz w:val="24"/>
          <w:szCs w:val="24"/>
          <w:shd w:val="clear" w:color="auto" w:fill="ffffff"/>
        </w:rPr>
      </w:r>
      <w:r>
        <w:rPr>
          <w:rFonts w:ascii="PT Astra Serif" w:hAnsi="PT Astra Serif" w:cs="PT Astra Serif"/>
          <w:i/>
          <w:color w:val="202122"/>
          <w:sz w:val="24"/>
          <w:szCs w:val="24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709" w:right="849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9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36">
    <w:name w:val="List Paragraph"/>
    <w:basedOn w:val="829"/>
    <w:uiPriority w:val="34"/>
    <w:qFormat/>
    <w:pPr>
      <w:contextualSpacing/>
      <w:ind w:left="720"/>
    </w:pPr>
  </w:style>
  <w:style w:type="table" w:styleId="837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8" w:customStyle="1">
    <w:name w:val="object"/>
    <w:basedOn w:val="830"/>
  </w:style>
  <w:style w:type="paragraph" w:styleId="839">
    <w:name w:val="Normal (Web)"/>
    <w:basedOn w:val="82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39</cp:revision>
  <dcterms:created xsi:type="dcterms:W3CDTF">2022-05-25T09:41:00Z</dcterms:created>
  <dcterms:modified xsi:type="dcterms:W3CDTF">2025-09-05T06:11:58Z</dcterms:modified>
</cp:coreProperties>
</file>