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17 декабря 2024 </w:t>
            </w:r>
            <w:r>
              <w:rPr>
                <w:rFonts w:cs="Times New Roman"/>
                <w:sz w:val="24"/>
                <w:szCs w:val="24"/>
              </w:rPr>
              <w:t xml:space="preserve">года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76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bCs/>
          <w:color w:val="212529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  <w:color w:val="212529"/>
          <w:highlight w:val="none"/>
        </w:rPr>
      </w:pPr>
      <w:r>
        <w:rPr>
          <w:rFonts w:ascii="Arial" w:hAnsi="Arial" w:cs="Arial"/>
          <w:b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bCs/>
          <w:color w:val="212529"/>
          <w:highlight w:val="none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  <w:color w:val="212529"/>
          <w:highlight w:val="none"/>
        </w:rPr>
      </w:pPr>
      <w:r>
        <w:rPr>
          <w:rFonts w:ascii="Arial" w:hAnsi="Arial" w:cs="Arial"/>
          <w:b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bCs/>
          <w:color w:val="212529"/>
          <w:highlight w:val="none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  <w:color w:val="212529"/>
          <w:highlight w:val="none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Представители Управления Росреестра по Иркутской области встретились с председателями садоводческих объединений Ангарского городского округа</w:t>
      </w:r>
      <w:r>
        <w:rPr>
          <w:rFonts w:ascii="Arial" w:hAnsi="Arial" w:cs="Arial"/>
          <w:b/>
          <w:bCs/>
          <w:color w:val="212529"/>
          <w:highlight w:val="none"/>
          <w:shd w:val="clear" w:color="auto" w:fill="ffffff"/>
        </w:rPr>
      </w:r>
      <w:r>
        <w:rPr>
          <w:rFonts w:ascii="Arial" w:hAnsi="Arial" w:cs="Arial"/>
          <w:b/>
          <w:bCs/>
          <w:color w:val="212529"/>
          <w:highlight w:val="none"/>
          <w:shd w:val="clear" w:color="auto" w:fill="ffffff"/>
        </w:rPr>
      </w:r>
    </w:p>
    <w:p>
      <w:pPr>
        <w:jc w:val="both"/>
        <w:spacing w:after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</w:rPr>
      </w:r>
    </w:p>
    <w:p>
      <w:pPr>
        <w:jc w:val="both"/>
        <w:spacing w:after="0" w:line="276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</w:p>
    <w:p>
      <w:pPr>
        <w:jc w:val="both"/>
        <w:spacing w:after="120" w:line="276" w:lineRule="auto"/>
        <w:rPr>
          <w:rFonts w:ascii="Arial" w:hAnsi="Arial" w:cs="Arial"/>
          <w:color w:val="212529"/>
          <w:highlight w:val="none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Одной из ключевых задач государственной программы «Национальная система пространственных данных» является создание полного и точного реестра сведений о недвижимости. О необходимости регистрации прав на ранее учтенные объекты недвижимости, уточнении границ земельных участков и иных важных аспектах реализации госпрограммы  рассказали представители Упра</w:t>
      </w:r>
      <w:r>
        <w:rPr>
          <w:rFonts w:ascii="Arial" w:hAnsi="Arial" w:cs="Arial"/>
          <w:color w:val="212529"/>
          <w:shd w:val="clear" w:color="auto" w:fill="ffffff"/>
        </w:rPr>
        <w:t xml:space="preserve">вления Росреестра по Иркутской области на встрече с председателями садоводческих объединений Ангарского городского округа 12 декабря 2024 года. В мероприятии приняли участие представители администрации округа и Законодательного собрания Иркутской области.</w:t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highlight w:val="none"/>
          <w:shd w:val="clear" w:color="auto" w:fill="ffffff"/>
        </w:rPr>
      </w:r>
    </w:p>
    <w:p>
      <w:pPr>
        <w:jc w:val="both"/>
        <w:spacing w:after="12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highlight w:val="none"/>
          <w:shd w:val="clear" w:color="auto" w:fill="ffffff"/>
        </w:rPr>
      </w:r>
      <w:r>
        <w:rPr>
          <w:rFonts w:ascii="Arial" w:hAnsi="Arial" w:cs="Arial"/>
          <w:color w:val="212529"/>
          <w:highlight w:val="none"/>
          <w:shd w:val="clear" w:color="auto" w:fill="ffffff"/>
        </w:rPr>
      </w:r>
    </w:p>
    <w:p>
      <w:pPr>
        <w:jc w:val="both"/>
        <w:spacing w:after="120" w:line="276" w:lineRule="auto"/>
        <w:rPr>
          <w:rFonts w:ascii="Arial" w:hAnsi="Arial" w:cs="Arial"/>
          <w:color w:val="212529"/>
          <w:highlight w:val="none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Начальник отдела ведения Единого государственного реестра недвижим</w:t>
      </w:r>
      <w:r>
        <w:rPr>
          <w:rFonts w:ascii="Arial" w:hAnsi="Arial" w:cs="Arial"/>
          <w:color w:val="212529"/>
          <w:shd w:val="clear" w:color="auto" w:fill="ffffff"/>
        </w:rPr>
        <w:t xml:space="preserve">ости Управления Росреестра по Иркутской области Алена Ивановна Колесникова рассказала собравшимся о том, почему важно правильно оформлять права на объекты недвижимости в СНТ, для чего нужно уточнять границы садовых участков и как исправляются реестровые ошибки. </w:t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highlight w:val="none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  <w:t xml:space="preserve">Необходимая информация была доведена до руководства СНТ  в виде памяток,  размещена в группах членов СНТ в мессенджерах.</w:t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</w:p>
    <w:p>
      <w:pPr>
        <w:jc w:val="both"/>
        <w:spacing w:after="12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highlight w:val="none"/>
          <w:shd w:val="clear" w:color="auto" w:fill="ffffff"/>
        </w:rPr>
      </w:r>
      <w:r>
        <w:rPr>
          <w:rFonts w:ascii="Arial" w:hAnsi="Arial" w:cs="Arial"/>
          <w:color w:val="212529"/>
          <w:highlight w:val="none"/>
          <w:shd w:val="clear" w:color="auto" w:fill="ffffff"/>
        </w:rPr>
      </w:r>
    </w:p>
    <w:p>
      <w:pPr>
        <w:jc w:val="both"/>
        <w:spacing w:after="120" w:line="276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Напомним, что с целью инфо</w:t>
      </w:r>
      <w:r>
        <w:rPr>
          <w:rFonts w:ascii="Arial" w:hAnsi="Arial" w:cs="Arial"/>
          <w:color w:val="212529"/>
          <w:shd w:val="clear" w:color="auto" w:fill="ffffff"/>
        </w:rPr>
        <w:t xml:space="preserve">рмирования граждан о необходимости и порядке оформления прав на ранее учтенные объекты недвижимости Управлением Росреестра по Иркутской области проводятся выездные «Дни Росреестра» в населенные пункты и садоводческие объединения по всей Иркутской области. </w:t>
      </w: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</w:p>
    <w:p>
      <w:pPr>
        <w:jc w:val="both"/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41"/>
    <w:uiPriority w:val="99"/>
  </w:style>
  <w:style w:type="character" w:styleId="684">
    <w:name w:val="Footer Char"/>
    <w:basedOn w:val="830"/>
    <w:link w:val="84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Emphasis"/>
    <w:basedOn w:val="830"/>
    <w:uiPriority w:val="20"/>
    <w:qFormat/>
    <w:rPr>
      <w:i/>
      <w:iCs/>
    </w:rPr>
  </w:style>
  <w:style w:type="paragraph" w:styleId="841">
    <w:name w:val="Header"/>
    <w:basedOn w:val="829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0"/>
    <w:link w:val="841"/>
    <w:uiPriority w:val="99"/>
  </w:style>
  <w:style w:type="paragraph" w:styleId="843">
    <w:name w:val="Footer"/>
    <w:basedOn w:val="829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0"/>
    <w:link w:val="843"/>
    <w:uiPriority w:val="99"/>
  </w:style>
  <w:style w:type="paragraph" w:styleId="845">
    <w:name w:val="Body Text"/>
    <w:basedOn w:val="829"/>
    <w:link w:val="847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46" w:customStyle="1">
    <w:name w:val="Основной текст Знак"/>
    <w:basedOn w:val="830"/>
    <w:uiPriority w:val="99"/>
    <w:semiHidden/>
  </w:style>
  <w:style w:type="character" w:styleId="847" w:customStyle="1">
    <w:name w:val="Основной текст Знак1"/>
    <w:basedOn w:val="830"/>
    <w:link w:val="845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</cp:revision>
  <dcterms:created xsi:type="dcterms:W3CDTF">2023-09-27T06:15:00Z</dcterms:created>
  <dcterms:modified xsi:type="dcterms:W3CDTF">2024-12-17T03:16:00Z</dcterms:modified>
</cp:coreProperties>
</file>