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</w:pPr>
      <w:r>
        <w:rPr>
          <w:highlight w:val="none"/>
        </w:rPr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67818" cy="796156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123707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267818" cy="7961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8.57pt;height:62.6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rFonts w:ascii="PT Astra Serif" w:hAnsi="PT Astra Serif" w:eastAsia="PT Astra Serif" w:cs="PT Astra Serif"/>
          <w:b w:val="0"/>
          <w:bCs w:val="0"/>
          <w:highlight w:val="none"/>
        </w:rPr>
      </w:pP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  <w:t xml:space="preserve">28.03.2025 г.</w:t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  <w:r>
        <w:rPr>
          <w:rFonts w:ascii="PT Astra Serif" w:hAnsi="PT Astra Serif" w:eastAsia="PT Astra Serif" w:cs="PT Astra Serif"/>
          <w:b w:val="0"/>
          <w:bCs w:val="0"/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b/>
          <w:bCs/>
        </w:rPr>
      </w:pPr>
      <w:r>
        <w:rPr>
          <w:b/>
          <w:bCs/>
          <w:highlight w:val="none"/>
        </w:rPr>
        <w:t xml:space="preserve">В 2025 году в Иркутской области будут обследованы 156 геодезических пунктов</w:t>
      </w:r>
      <w:r>
        <w:rPr>
          <w:b/>
          <w:bCs/>
          <w:highlight w:val="none"/>
        </w:rPr>
      </w:r>
    </w:p>
    <w:p>
      <w:pPr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Одно из направлений работы Управления Росреестра по Иркутской области, о котором мало кто знает, – обследование геодезических пунктов Иркутской области.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Напомним, что геодезические пункты необходимы для обозначения фиксированных на поверхности земли точек с известными координатами, которые служат основой для выполнения кадастровых работ, строительства и других видов деятельности. Информация о таких пунктах применяется для точного определ</w:t>
      </w:r>
      <w:r>
        <w:rPr>
          <w:highlight w:val="none"/>
        </w:rPr>
        <w:t xml:space="preserve">ения координат границ, например, населенных пунктов или объектов недвижимости. Они являются частью государственной геодезической сети России.</w:t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По словам и.о. заместителя руководителя Управления Росреестра по Иркутской области Евгения Богдановича Мельничука, в 2025 году Управлением запланировано обследование 156 геодезических пунктов, из них - 84 пункта государственной геодезической сети, 68 пункто</w:t>
      </w:r>
      <w:r>
        <w:rPr>
          <w:highlight w:val="none"/>
        </w:rPr>
        <w:t xml:space="preserve">в государственной нивелирной сети и 4 пункта государственной гравиметрической сети. </w:t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Если коротко, то геодезические пункты нужны для определения координат любых объектов на местности, нивелирные пункты составляют государственную систему высот, а гравиметриче</w:t>
      </w:r>
      <w:r>
        <w:rPr>
          <w:highlight w:val="none"/>
        </w:rPr>
        <w:t xml:space="preserve">ские пункты помогают изучать гравитационное поле Земли.</w:t>
      </w:r>
      <w:r>
        <w:rPr>
          <w:highlight w:val="none"/>
        </w:rPr>
      </w:r>
      <w:r/>
    </w:p>
    <w:p>
      <w:pPr>
        <w:jc w:val="both"/>
        <w:rPr>
          <w:highlight w:val="none"/>
        </w:rPr>
      </w:pPr>
      <w:r>
        <w:rPr>
          <w:highlight w:val="none"/>
        </w:rPr>
        <w:t xml:space="preserve">Сохранность этих пунктов критически важна для обеспечения точности и надежности геопространственных данных, поэтому сотрудники Росреестра  проводят мониторинг состояния геодезической сети, выявляют поврежденные или утраченные пункты.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Обследование пунктов происходит путём получения актуальной информации о сохранности пункта, состоянии центров и наружных знаков, сохранности ориентирных пунктов и их центров.</w:t>
      </w:r>
      <w:r>
        <w:rPr>
          <w:highlight w:val="none"/>
        </w:rPr>
      </w:r>
    </w:p>
    <w:p>
      <w:pPr>
        <w:jc w:val="both"/>
      </w:pPr>
      <w:r>
        <w:rPr>
          <w:highlight w:val="none"/>
        </w:rPr>
        <w:t xml:space="preserve">В настоящее время из общего количества пунктов геодезических сетей, которых в нашей области насчитывается почти 32 тысячи, обследовано около 8 процентов. Это связано с тем, что более 90 % геодезических пунктов расположено в труднодоступных и удаленных район</w:t>
      </w:r>
      <w:r>
        <w:rPr>
          <w:highlight w:val="none"/>
        </w:rPr>
        <w:t xml:space="preserve">ах Иркутской области.</w:t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  <w:t xml:space="preserve">Актуальная информация о состоянии геодезических пунктов также имеет большое значение для функционирования портала Национальная система пространственных данных (НСПД), информацией которого активно пользуются участники рынка недвижимости.</w:t>
      </w: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709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2025-03-27T06:59:22Z</dcterms:modified>
</cp:coreProperties>
</file>