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1B6A60" w:rsidP="001B6A60">
            <w:pPr>
              <w:pStyle w:val="ae"/>
              <w:tabs>
                <w:tab w:val="center" w:pos="4623"/>
                <w:tab w:val="left" w:pos="8100"/>
              </w:tabs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29741A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29741A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Перфилов</w:t>
            </w:r>
            <w:r w:rsidR="00FB28AC"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29741A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1B6A60" w:rsidTr="003C78F1">
        <w:tc>
          <w:tcPr>
            <w:tcW w:w="9485" w:type="dxa"/>
            <w:shd w:val="clear" w:color="auto" w:fill="auto"/>
          </w:tcPr>
          <w:p w:rsidR="00FB28AC" w:rsidRPr="006A1012" w:rsidRDefault="001B6A60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27. 12</w:t>
            </w:r>
            <w:r w:rsidR="00CB098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2024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63-па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1B6A60" w:rsidTr="003C78F1">
        <w:tc>
          <w:tcPr>
            <w:tcW w:w="9485" w:type="dxa"/>
            <w:shd w:val="clear" w:color="auto" w:fill="auto"/>
          </w:tcPr>
          <w:p w:rsidR="00FB28AC" w:rsidRPr="006A1012" w:rsidRDefault="00FB28AC" w:rsidP="0029741A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29741A">
              <w:rPr>
                <w:rFonts w:ascii="Times New Roman" w:hAnsi="Times New Roman"/>
                <w:b/>
                <w:spacing w:val="20"/>
                <w:sz w:val="28"/>
              </w:rPr>
              <w:t>Перфилово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29741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Перфилов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55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974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Перфилов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ского 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29741A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Перфилов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="0029741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Риттер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Перфилов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555634">
        <w:rPr>
          <w:rFonts w:ascii="Times New Roman" w:hAnsi="Times New Roman" w:cs="Times New Roman"/>
        </w:rPr>
        <w:t>perfilovo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="008A7E4B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сте</w:t>
      </w:r>
      <w:bookmarkStart w:id="0" w:name="_GoBack"/>
      <w:bookmarkEnd w:id="0"/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29741A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Перфилов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9741A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="008A7E4B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="00555634" w:rsidRPr="0055563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lastRenderedPageBreak/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2974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29741A">
        <w:rPr>
          <w:rFonts w:ascii="Times New Roman" w:hAnsi="Times New Roman" w:cs="Times New Roman"/>
          <w:sz w:val="24"/>
          <w:szCs w:val="28"/>
          <w:lang w:val="ru-RU"/>
        </w:rPr>
        <w:t>Перфилов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</w:t>
      </w:r>
      <w:r w:rsidR="0029741A">
        <w:rPr>
          <w:rFonts w:ascii="Times New Roman" w:hAnsi="Times New Roman" w:cs="Times New Roman"/>
          <w:sz w:val="24"/>
          <w:szCs w:val="28"/>
          <w:lang w:val="ru-RU" w:eastAsia="ru-RU"/>
        </w:rPr>
        <w:t>Перфилово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29741A">
        <w:rPr>
          <w:rFonts w:ascii="Times New Roman" w:hAnsi="Times New Roman" w:cs="Times New Roman"/>
          <w:sz w:val="24"/>
          <w:szCs w:val="28"/>
          <w:lang w:val="ru-RU" w:eastAsia="ru-RU"/>
        </w:rPr>
        <w:t>50лет Октября,39</w:t>
      </w:r>
    </w:p>
    <w:p w:rsidR="00F86B56" w:rsidRPr="003C78F1" w:rsidRDefault="0029741A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>п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очтовый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адрес: 6652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20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село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Перфилово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ул.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50лет Октября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3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9,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29741A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</w:p>
    <w:p w:rsidR="00F86B56" w:rsidRPr="003C78F1" w:rsidRDefault="00555634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perf</w:t>
      </w:r>
      <w:r w:rsidRPr="00555634">
        <w:rPr>
          <w:rFonts w:ascii="Times New Roman" w:hAnsi="Times New Roman" w:cs="Times New Roman"/>
          <w:sz w:val="24"/>
          <w:szCs w:val="28"/>
          <w:lang w:val="ru-RU" w:eastAsia="ru-RU"/>
        </w:rPr>
        <w:t>-</w:t>
      </w:r>
      <w:r>
        <w:rPr>
          <w:rFonts w:ascii="Times New Roman" w:hAnsi="Times New Roman" w:cs="Times New Roman"/>
          <w:sz w:val="24"/>
          <w:szCs w:val="28"/>
          <w:lang w:eastAsia="ru-RU"/>
        </w:rPr>
        <w:t>pos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F86B56"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555634">
        <w:rPr>
          <w:rFonts w:ascii="Times New Roman" w:hAnsi="Times New Roman" w:cs="Times New Roman"/>
        </w:rPr>
        <w:t>perfilovo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1B6A60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555634" w:rsidRPr="001B6A60">
        <w:rPr>
          <w:rFonts w:ascii="Times New Roman" w:hAnsi="Times New Roman" w:cs="Times New Roman"/>
          <w:sz w:val="24"/>
          <w:szCs w:val="28"/>
          <w:lang w:val="ru-RU" w:eastAsia="ru-RU"/>
        </w:rPr>
        <w:t>89397958324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6B6600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</w:t>
      </w:r>
      <w:r w:rsidR="006B6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(с указанием количества машин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6B6600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</w:t>
      </w:r>
      <w:r w:rsidR="00B93272"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B66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содержат повреждения, наличие которых не позволяет в полном объеме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8A7E4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A7E4B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="007C05DE" w:rsidRPr="007C0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="007C05DE" w:rsidRPr="007C0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беспрепятственного доступа к объекту (зданию, помещению), в 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>сурдo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оказание инвалидам помощи в преодолении барьеров, мешающих получению 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7C05DE" w:rsidRPr="007C05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>полномоченный орган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ый орган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05DE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</w:t>
      </w:r>
      <w:r w:rsidR="007C05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олучении заявления, указанного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lastRenderedPageBreak/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исполнением ответственными должностными лицами положений</w:t>
      </w:r>
      <w:r w:rsidR="007C05DE" w:rsidRPr="007C05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="008A7E4B" w:rsidRPr="008A7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8A7E4B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A7E4B">
        <w:rPr>
          <w:rFonts w:ascii="Times New Roman" w:eastAsia="Times New Roman" w:hAnsi="Times New Roman" w:cs="Times New Roman"/>
          <w:sz w:val="24"/>
          <w:szCs w:val="24"/>
          <w:lang w:val="ru-RU"/>
        </w:rPr>
        <w:t>Перфилов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A7E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A7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рассмотрение жалобы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 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</w:t>
      </w:r>
      <w:r w:rsidR="008A7E4B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вий (бездействия), совершенных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1B6A60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8A7E4B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1B6A60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1B6A60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1B6A60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1B6A60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1B6A60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A7E4B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A7E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Перфилов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1B6A60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8A7E4B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A7E4B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Перфилов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1B6A60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1B6A60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1B6A60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1B6A60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1B6A60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1B6A60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1B6A60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1B6A60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1B6A60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8A7E4B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8A7E4B">
              <w:rPr>
                <w:rFonts w:ascii="Times New Roman" w:eastAsia="Times New Roman" w:hAnsi="Times New Roman" w:cs="Times New Roman"/>
                <w:lang w:val="ru-RU" w:eastAsia="ru-RU"/>
              </w:rPr>
              <w:t>Перфилов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1B6A60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1B6A60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1B6A60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1B6A60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1B6A60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60" w:rsidRDefault="001B6A60" w:rsidP="00695D9B">
      <w:r>
        <w:separator/>
      </w:r>
    </w:p>
  </w:endnote>
  <w:endnote w:type="continuationSeparator" w:id="0">
    <w:p w:rsidR="001B6A60" w:rsidRDefault="001B6A60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60" w:rsidRDefault="001B6A60" w:rsidP="00695D9B">
      <w:r>
        <w:separator/>
      </w:r>
    </w:p>
  </w:footnote>
  <w:footnote w:type="continuationSeparator" w:id="0">
    <w:p w:rsidR="001B6A60" w:rsidRDefault="001B6A60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Content>
      <w:p w:rsidR="001B6A60" w:rsidRDefault="001B6A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3D" w:rsidRPr="0028273D">
          <w:rPr>
            <w:noProof/>
            <w:lang w:val="ru-RU"/>
          </w:rPr>
          <w:t>2</w:t>
        </w:r>
        <w:r>
          <w:fldChar w:fldCharType="end"/>
        </w:r>
      </w:p>
    </w:sdtContent>
  </w:sdt>
  <w:p w:rsidR="001B6A60" w:rsidRDefault="001B6A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60" w:rsidRDefault="001B6A60" w:rsidP="002460FE">
    <w:pPr>
      <w:pStyle w:val="aa"/>
      <w:rPr>
        <w:lang w:val="ru-RU"/>
      </w:rPr>
    </w:pPr>
  </w:p>
  <w:p w:rsidR="001B6A60" w:rsidRDefault="001B6A60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Content>
      <w:p w:rsidR="001B6A60" w:rsidRDefault="001B6A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3D" w:rsidRPr="0028273D">
          <w:rPr>
            <w:noProof/>
            <w:lang w:val="ru-RU"/>
          </w:rPr>
          <w:t>26</w:t>
        </w:r>
        <w:r>
          <w:fldChar w:fldCharType="end"/>
        </w:r>
      </w:p>
    </w:sdtContent>
  </w:sdt>
  <w:p w:rsidR="001B6A60" w:rsidRDefault="001B6A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0666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B6A60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273D"/>
    <w:rsid w:val="00283587"/>
    <w:rsid w:val="00284863"/>
    <w:rsid w:val="00287B8B"/>
    <w:rsid w:val="00296AE4"/>
    <w:rsid w:val="0029741A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55634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B6600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C05DE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A7E4B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0AC9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BF290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8141-782F-40A4-8181-80834B41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26</Pages>
  <Words>10386</Words>
  <Characters>59203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Element</cp:lastModifiedBy>
  <cp:revision>116</cp:revision>
  <cp:lastPrinted>2024-12-27T07:38:00Z</cp:lastPrinted>
  <dcterms:created xsi:type="dcterms:W3CDTF">2024-01-22T05:48:00Z</dcterms:created>
  <dcterms:modified xsi:type="dcterms:W3CDTF">2024-12-27T07:40:00Z</dcterms:modified>
</cp:coreProperties>
</file>