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DF" w:rsidRDefault="00970FDF" w:rsidP="00970FDF">
      <w:pPr>
        <w:spacing w:before="100" w:beforeAutospacing="1" w:after="100" w:afterAutospacing="1" w:line="240" w:lineRule="auto"/>
        <w:outlineLvl w:val="1"/>
        <w:rPr>
          <w:rFonts w:ascii="Times New Roman" w:hAnsi="Times New Roman" w:cs="Times New Roman"/>
          <w:color w:val="000000"/>
          <w:sz w:val="28"/>
          <w:szCs w:val="28"/>
          <w:lang w:eastAsia="ru-RU"/>
        </w:rPr>
      </w:pPr>
      <w:bookmarkStart w:id="0" w:name="_GoBack"/>
      <w:bookmarkEnd w:id="0"/>
      <w:r w:rsidRPr="00970FDF">
        <w:rPr>
          <w:rFonts w:ascii="Times New Roman" w:eastAsia="Times New Roman" w:hAnsi="Times New Roman" w:cs="Times New Roman"/>
          <w:b/>
          <w:bCs/>
          <w:color w:val="000000"/>
          <w:sz w:val="28"/>
          <w:szCs w:val="28"/>
          <w:lang w:eastAsia="ru-RU"/>
        </w:rPr>
        <w:t>Административная ответственность за нарушение порядка использования государственного и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В соответствии с положениями ст. 17.1 Федерального закона от 26.07.2006 № 135-ФЗ "О защите конкуренции" (далее - Закон № 135-ФЗ) заключение договоров передачи прав владения и (или) пользования в отношении государственного и муниципального имущества, в том числе договоров аренды, может быть осуществлено только по результатам проведения конкурсов или аукционов на право заключения таких договоров.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Норма ст. 17.1 Закона № 135-ФЗ направлена на обеспечение равного (конкурентного) доступа к указанному имуществу всем заинтересованным лицам. Конкурсные процедуры в данном случае необходимы для устранения преференций со стороны органов государственной власти и органов местного самоуправления отдельным участникам.</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Из этих положений законодательства следует, что правоустанавливающим документом на помещения, находящиеся в государственной собственности, является договор аренды, заключенный с государственным унитарным предприятием с согласия собственника имущества и на основании проведенного аукциона.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Анализ материалов проведенных прокурорских проверок показал, что типичными нарушениями в сфере использования государственного и муниципального имущества являются:</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предоставление недвижимого имущества в пользование без согласия собственника;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использование имущества без заключения договоров и государственной регистрации;</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передача прав владения (пользования) государственным (муниципальным) имуществом вне процедуры торгов;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невнесение либо несвоевременное внесение арендных платежей за использование государственного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proofErr w:type="spellStart"/>
      <w:r w:rsidRPr="00970FDF">
        <w:rPr>
          <w:rFonts w:ascii="Times New Roman" w:hAnsi="Times New Roman" w:cs="Times New Roman"/>
          <w:color w:val="000000"/>
          <w:sz w:val="28"/>
          <w:szCs w:val="28"/>
          <w:lang w:eastAsia="ru-RU"/>
        </w:rPr>
        <w:t>непроведение</w:t>
      </w:r>
      <w:proofErr w:type="spellEnd"/>
      <w:r w:rsidRPr="00970FDF">
        <w:rPr>
          <w:rFonts w:ascii="Times New Roman" w:hAnsi="Times New Roman" w:cs="Times New Roman"/>
          <w:color w:val="000000"/>
          <w:sz w:val="28"/>
          <w:szCs w:val="28"/>
          <w:lang w:eastAsia="ru-RU"/>
        </w:rPr>
        <w:t xml:space="preserve"> конкурсов на право заключения договоров аренды.</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Частью 1 статьи 14.9 Кодекса Российской Федерации об административных правонарушениях установлена ответственность за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lastRenderedPageBreak/>
        <w:t>Частью 2 статьи 7.24 КоАП РФ предусмотрена ответственность за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607676" w:rsidRDefault="00970FDF" w:rsidP="00970FDF">
      <w:pPr>
        <w:pStyle w:val="a3"/>
        <w:ind w:firstLine="708"/>
        <w:jc w:val="both"/>
        <w:rPr>
          <w:rFonts w:ascii="Times New Roman" w:hAnsi="Times New Roman" w:cs="Times New Roman"/>
          <w:color w:val="000000"/>
          <w:sz w:val="28"/>
          <w:szCs w:val="28"/>
          <w:shd w:val="clear" w:color="auto" w:fill="F9F9F9"/>
        </w:rPr>
      </w:pPr>
      <w:r w:rsidRPr="00970FDF">
        <w:rPr>
          <w:rFonts w:ascii="Times New Roman" w:hAnsi="Times New Roman" w:cs="Times New Roman"/>
          <w:color w:val="000000"/>
          <w:sz w:val="28"/>
          <w:szCs w:val="28"/>
          <w:shd w:val="clear" w:color="auto" w:fill="F9F9F9"/>
        </w:rPr>
        <w:t>Пленум Высшего Арбитражного Суда Россий</w:t>
      </w:r>
      <w:r>
        <w:rPr>
          <w:rFonts w:ascii="Times New Roman" w:hAnsi="Times New Roman" w:cs="Times New Roman"/>
          <w:color w:val="000000"/>
          <w:sz w:val="28"/>
          <w:szCs w:val="28"/>
          <w:shd w:val="clear" w:color="auto" w:fill="F9F9F9"/>
        </w:rPr>
        <w:t>ской Федерации в Постановлении №</w:t>
      </w:r>
      <w:r w:rsidRPr="00970FDF">
        <w:rPr>
          <w:rFonts w:ascii="Times New Roman" w:hAnsi="Times New Roman" w:cs="Times New Roman"/>
          <w:color w:val="000000"/>
          <w:sz w:val="28"/>
          <w:szCs w:val="28"/>
          <w:shd w:val="clear" w:color="auto" w:fill="F9F9F9"/>
        </w:rPr>
        <w:t xml:space="preserve"> 11 от 17.02.2011 указал, что при применении этой нормы в части привлечения к административной ответственности лиц за использование находящегося в федеральной собственности объекта нежилого фонда без согласия собственника на распоряжение соответствующим имуществом судам следует учитывать, что арендатор (субарендатор) может быть субъектом ответственности за данное правонарушение, так как он обязан удостовериться в том, что заключает договор аренды с лицом, у которого такое согласие имеется.</w:t>
      </w:r>
    </w:p>
    <w:p w:rsidR="00970FDF" w:rsidRDefault="00970FDF" w:rsidP="00970FDF">
      <w:pPr>
        <w:pStyle w:val="a3"/>
        <w:ind w:firstLine="708"/>
        <w:jc w:val="both"/>
        <w:rPr>
          <w:rFonts w:ascii="Times New Roman" w:hAnsi="Times New Roman" w:cs="Times New Roman"/>
          <w:color w:val="000000"/>
          <w:sz w:val="28"/>
          <w:szCs w:val="28"/>
          <w:shd w:val="clear" w:color="auto" w:fill="F9F9F9"/>
        </w:rPr>
      </w:pPr>
    </w:p>
    <w:p w:rsidR="00970FDF" w:rsidRPr="00970FDF" w:rsidRDefault="00970FDF" w:rsidP="00970FDF">
      <w:pPr>
        <w:pStyle w:val="a3"/>
        <w:ind w:left="4248"/>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9F9F9"/>
        </w:rPr>
        <w:t>Тулунская</w:t>
      </w:r>
      <w:proofErr w:type="spellEnd"/>
      <w:r>
        <w:rPr>
          <w:rFonts w:ascii="Times New Roman" w:hAnsi="Times New Roman" w:cs="Times New Roman"/>
          <w:color w:val="000000"/>
          <w:sz w:val="28"/>
          <w:szCs w:val="28"/>
          <w:shd w:val="clear" w:color="auto" w:fill="F9F9F9"/>
        </w:rPr>
        <w:t xml:space="preserve"> межрайонная прокуратура</w:t>
      </w:r>
    </w:p>
    <w:sectPr w:rsidR="00970FDF" w:rsidRPr="0097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DF"/>
    <w:rsid w:val="00607676"/>
    <w:rsid w:val="00664C96"/>
    <w:rsid w:val="0097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BC42-3A0A-449C-9D92-3EB45560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4607">
      <w:bodyDiv w:val="1"/>
      <w:marLeft w:val="0"/>
      <w:marRight w:val="0"/>
      <w:marTop w:val="0"/>
      <w:marBottom w:val="0"/>
      <w:divBdr>
        <w:top w:val="none" w:sz="0" w:space="0" w:color="auto"/>
        <w:left w:val="none" w:sz="0" w:space="0" w:color="auto"/>
        <w:bottom w:val="none" w:sz="0" w:space="0" w:color="auto"/>
        <w:right w:val="none" w:sz="0" w:space="0" w:color="auto"/>
      </w:divBdr>
    </w:div>
    <w:div w:id="2010793217">
      <w:bodyDiv w:val="1"/>
      <w:marLeft w:val="0"/>
      <w:marRight w:val="0"/>
      <w:marTop w:val="0"/>
      <w:marBottom w:val="0"/>
      <w:divBdr>
        <w:top w:val="none" w:sz="0" w:space="0" w:color="auto"/>
        <w:left w:val="none" w:sz="0" w:space="0" w:color="auto"/>
        <w:bottom w:val="none" w:sz="0" w:space="0" w:color="auto"/>
        <w:right w:val="none" w:sz="0" w:space="0" w:color="auto"/>
      </w:divBdr>
      <w:divsChild>
        <w:div w:id="1181163725">
          <w:marLeft w:val="0"/>
          <w:marRight w:val="0"/>
          <w:marTop w:val="0"/>
          <w:marBottom w:val="0"/>
          <w:divBdr>
            <w:top w:val="none" w:sz="0" w:space="0" w:color="auto"/>
            <w:left w:val="none" w:sz="0" w:space="0" w:color="auto"/>
            <w:bottom w:val="none" w:sz="0" w:space="0" w:color="auto"/>
            <w:right w:val="none" w:sz="0" w:space="0" w:color="auto"/>
          </w:divBdr>
          <w:divsChild>
            <w:div w:id="1323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Marina V. Egorova</cp:lastModifiedBy>
  <cp:revision>2</cp:revision>
  <dcterms:created xsi:type="dcterms:W3CDTF">2018-02-26T08:24:00Z</dcterms:created>
  <dcterms:modified xsi:type="dcterms:W3CDTF">2018-02-26T08:24:00Z</dcterms:modified>
</cp:coreProperties>
</file>