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Pr="005F0447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422D" w:rsidRPr="003B0205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EC71A9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0422D" w:rsidRPr="003B0205">
        <w:rPr>
          <w:rFonts w:ascii="Times New Roman" w:hAnsi="Times New Roman" w:cs="Times New Roman"/>
          <w:b/>
          <w:sz w:val="28"/>
          <w:szCs w:val="28"/>
        </w:rPr>
        <w:t xml:space="preserve">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3B0205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="0035787E">
        <w:rPr>
          <w:rFonts w:ascii="Times New Roman" w:hAnsi="Times New Roman" w:cs="Times New Roman"/>
          <w:b/>
          <w:spacing w:val="20"/>
          <w:sz w:val="32"/>
          <w:szCs w:val="32"/>
        </w:rPr>
        <w:t>Перфиловского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proofErr w:type="gramStart"/>
      <w:r w:rsidR="00D530E1">
        <w:rPr>
          <w:rFonts w:ascii="Times New Roman" w:hAnsi="Times New Roman" w:cs="Times New Roman"/>
          <w:b/>
          <w:spacing w:val="20"/>
          <w:sz w:val="28"/>
          <w:u w:val="single"/>
        </w:rPr>
        <w:t>20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B44A4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D530E1">
        <w:rPr>
          <w:rFonts w:ascii="Times New Roman" w:hAnsi="Times New Roman" w:cs="Times New Roman"/>
          <w:b/>
          <w:spacing w:val="20"/>
          <w:sz w:val="28"/>
          <w:u w:val="single"/>
        </w:rPr>
        <w:t>февраля</w:t>
      </w:r>
      <w:proofErr w:type="gramEnd"/>
      <w:r w:rsidR="00D530E1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DB44A4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974872">
        <w:rPr>
          <w:rFonts w:ascii="Times New Roman" w:hAnsi="Times New Roman" w:cs="Times New Roman"/>
          <w:b/>
          <w:spacing w:val="20"/>
          <w:sz w:val="28"/>
        </w:rPr>
        <w:t>202</w:t>
      </w:r>
      <w:r w:rsidR="00CE3CC0">
        <w:rPr>
          <w:rFonts w:ascii="Times New Roman" w:hAnsi="Times New Roman" w:cs="Times New Roman"/>
          <w:b/>
          <w:spacing w:val="20"/>
          <w:sz w:val="28"/>
        </w:rPr>
        <w:t>3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>№</w:t>
      </w:r>
      <w:r w:rsidR="00D530E1">
        <w:rPr>
          <w:rFonts w:ascii="Times New Roman" w:hAnsi="Times New Roman" w:cs="Times New Roman"/>
          <w:b/>
          <w:spacing w:val="20"/>
          <w:sz w:val="28"/>
        </w:rPr>
        <w:t>9-па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32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35787E">
        <w:rPr>
          <w:rFonts w:ascii="Times New Roman" w:hAnsi="Times New Roman" w:cs="Times New Roman"/>
          <w:b/>
          <w:sz w:val="28"/>
          <w:szCs w:val="28"/>
        </w:rPr>
        <w:t>Перфилово</w:t>
      </w:r>
      <w:proofErr w:type="spellEnd"/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35787E">
        <w:rPr>
          <w:rFonts w:ascii="Times New Roman" w:hAnsi="Times New Roman" w:cs="Times New Roman"/>
          <w:i/>
          <w:sz w:val="28"/>
          <w:szCs w:val="28"/>
        </w:rPr>
        <w:t>Перфиловского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i/>
          <w:sz w:val="28"/>
          <w:szCs w:val="28"/>
        </w:rPr>
        <w:t>Перфиловского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35787E">
        <w:rPr>
          <w:rFonts w:ascii="Times New Roman" w:hAnsi="Times New Roman" w:cs="Times New Roman"/>
          <w:i/>
          <w:sz w:val="28"/>
          <w:szCs w:val="28"/>
        </w:rPr>
        <w:t>Перфиловского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35787E">
        <w:rPr>
          <w:rFonts w:ascii="Times New Roman" w:hAnsi="Times New Roman" w:cs="Times New Roman"/>
          <w:color w:val="000000"/>
          <w:sz w:val="28"/>
          <w:szCs w:val="28"/>
        </w:rPr>
        <w:t>Перфиловского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35787E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00E52" w:rsidRPr="00A04F3A">
        <w:rPr>
          <w:rFonts w:ascii="Times New Roman" w:hAnsi="Times New Roman" w:cs="Times New Roman"/>
          <w:sz w:val="28"/>
          <w:szCs w:val="28"/>
        </w:rPr>
        <w:t>от 11.03.2020г. № </w:t>
      </w:r>
      <w:r w:rsidR="00A04F3A" w:rsidRPr="00A04F3A">
        <w:rPr>
          <w:rFonts w:ascii="Times New Roman" w:hAnsi="Times New Roman" w:cs="Times New Roman"/>
          <w:sz w:val="28"/>
          <w:szCs w:val="28"/>
        </w:rPr>
        <w:t>10-па</w:t>
      </w:r>
      <w:r w:rsidR="00D00E52" w:rsidRPr="00A04F3A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 </w:t>
      </w:r>
      <w:r w:rsidR="0035787E" w:rsidRPr="00A04F3A">
        <w:rPr>
          <w:rFonts w:ascii="Times New Roman" w:hAnsi="Times New Roman" w:cs="Times New Roman"/>
          <w:sz w:val="28"/>
          <w:szCs w:val="28"/>
        </w:rPr>
        <w:t>Перфиловского</w:t>
      </w:r>
      <w:r w:rsidR="00D00E52" w:rsidRPr="00A04F3A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 w:rsidR="0035787E" w:rsidRPr="00A04F3A">
        <w:rPr>
          <w:rFonts w:ascii="Times New Roman" w:hAnsi="Times New Roman" w:cs="Times New Roman"/>
          <w:sz w:val="28"/>
          <w:szCs w:val="28"/>
        </w:rPr>
        <w:t>Перфиловского</w:t>
      </w:r>
      <w:r w:rsidR="00D00E52" w:rsidRPr="00A04F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A04F3A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35787E">
        <w:rPr>
          <w:rFonts w:ascii="Times New Roman" w:hAnsi="Times New Roman" w:cs="Times New Roman"/>
          <w:sz w:val="28"/>
          <w:szCs w:val="28"/>
        </w:rPr>
        <w:t>Перфиловский</w:t>
      </w:r>
      <w:proofErr w:type="spellEnd"/>
      <w:r w:rsidR="008F3F78"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04F3A">
        <w:rPr>
          <w:rFonts w:ascii="Times New Roman" w:hAnsi="Times New Roman" w:cs="Times New Roman"/>
          <w:sz w:val="28"/>
          <w:szCs w:val="28"/>
        </w:rPr>
        <w:t>С.Н. Риттер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lastRenderedPageBreak/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35787E">
        <w:rPr>
          <w:rFonts w:ascii="Times New Roman" w:hAnsi="Times New Roman" w:cs="Times New Roman"/>
        </w:rPr>
        <w:t>Перфиловского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proofErr w:type="gramStart"/>
      <w:r w:rsidR="00D530E1">
        <w:rPr>
          <w:rFonts w:ascii="Times New Roman" w:hAnsi="Times New Roman" w:cs="Times New Roman"/>
        </w:rPr>
        <w:t>20</w:t>
      </w:r>
      <w:r w:rsidRPr="003B0205">
        <w:rPr>
          <w:rFonts w:ascii="Times New Roman" w:hAnsi="Times New Roman" w:cs="Times New Roman"/>
        </w:rPr>
        <w:t>»</w:t>
      </w:r>
      <w:r w:rsidR="00D530E1">
        <w:rPr>
          <w:rFonts w:ascii="Times New Roman" w:hAnsi="Times New Roman" w:cs="Times New Roman"/>
        </w:rPr>
        <w:t>февраля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202</w:t>
      </w:r>
      <w:r w:rsidR="0035787E">
        <w:rPr>
          <w:rFonts w:ascii="Times New Roman" w:hAnsi="Times New Roman" w:cs="Times New Roman"/>
        </w:rPr>
        <w:t>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D530E1">
        <w:rPr>
          <w:rFonts w:ascii="Times New Roman" w:hAnsi="Times New Roman" w:cs="Times New Roman"/>
        </w:rPr>
        <w:t>9-па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" w:name="P34"/>
      <w:bookmarkEnd w:id="1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35787E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ПЕРФИЛОВСКОГО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3578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Перфиловского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35787E">
        <w:rPr>
          <w:rFonts w:ascii="Times New Roman" w:hAnsi="Times New Roman" w:cs="Times New Roman"/>
          <w:color w:val="000000"/>
          <w:lang w:eastAsia="zh-CN"/>
        </w:rPr>
        <w:t>Перфиловского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35787E">
        <w:rPr>
          <w:rFonts w:ascii="Times New Roman" w:hAnsi="Times New Roman" w:cs="Times New Roman"/>
          <w:color w:val="000000"/>
          <w:lang w:eastAsia="zh-CN"/>
        </w:rPr>
        <w:t>ПЕРФИЛОВСКОГО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3B4">
        <w:rPr>
          <w:rFonts w:ascii="Times New Roman" w:hAnsi="Times New Roman" w:cs="Times New Roman"/>
          <w:sz w:val="28"/>
          <w:szCs w:val="28"/>
        </w:rPr>
        <w:t>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D530E1">
        <w:rPr>
          <w:rFonts w:ascii="Times New Roman" w:hAnsi="Times New Roman" w:cs="Times New Roman"/>
          <w:sz w:val="28"/>
          <w:szCs w:val="28"/>
          <w:u w:val="single"/>
        </w:rPr>
        <w:t>20</w:t>
      </w:r>
      <w:proofErr w:type="gramEnd"/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="00D530E1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3233B4">
        <w:rPr>
          <w:rFonts w:ascii="Times New Roman" w:hAnsi="Times New Roman" w:cs="Times New Roman"/>
          <w:sz w:val="28"/>
          <w:szCs w:val="28"/>
        </w:rPr>
        <w:t>202</w:t>
      </w:r>
      <w:r w:rsidR="004C272B">
        <w:rPr>
          <w:rFonts w:ascii="Times New Roman" w:hAnsi="Times New Roman" w:cs="Times New Roman"/>
          <w:sz w:val="28"/>
          <w:szCs w:val="28"/>
        </w:rPr>
        <w:t>3</w:t>
      </w:r>
      <w:r w:rsidRPr="003233B4">
        <w:rPr>
          <w:rFonts w:ascii="Times New Roman" w:hAnsi="Times New Roman" w:cs="Times New Roman"/>
          <w:sz w:val="28"/>
          <w:szCs w:val="28"/>
        </w:rPr>
        <w:t xml:space="preserve"> г. № </w:t>
      </w:r>
      <w:r w:rsidR="00D530E1">
        <w:rPr>
          <w:rFonts w:ascii="Times New Roman" w:hAnsi="Times New Roman" w:cs="Times New Roman"/>
          <w:sz w:val="28"/>
          <w:szCs w:val="28"/>
        </w:rPr>
        <w:t>9-па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4" w:name="P103"/>
      <w:bookmarkEnd w:id="4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35787E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ПЕРФИЛОВСКОГО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настоящему 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35787E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Перфиловского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35787E">
        <w:rPr>
          <w:rFonts w:ascii="Times New Roman" w:hAnsi="Times New Roman" w:cs="Times New Roman"/>
          <w:color w:val="000000"/>
          <w:lang w:eastAsia="zh-CN"/>
        </w:rPr>
        <w:t>ПЕРФИЛОВСКОГО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35787E">
        <w:rPr>
          <w:rFonts w:ascii="Times New Roman" w:hAnsi="Times New Roman" w:cs="Times New Roman"/>
        </w:rPr>
        <w:t>Перфиловского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gramStart"/>
      <w:r w:rsidRPr="003B0205">
        <w:rPr>
          <w:rFonts w:ascii="Times New Roman" w:hAnsi="Times New Roman" w:cs="Times New Roman"/>
        </w:rPr>
        <w:t>«</w:t>
      </w:r>
      <w:r w:rsidR="00EC71A9">
        <w:rPr>
          <w:rFonts w:ascii="Times New Roman" w:hAnsi="Times New Roman" w:cs="Times New Roman"/>
        </w:rPr>
        <w:t xml:space="preserve"> </w:t>
      </w:r>
      <w:r w:rsidR="00D530E1">
        <w:rPr>
          <w:rFonts w:ascii="Times New Roman" w:hAnsi="Times New Roman" w:cs="Times New Roman"/>
          <w:u w:val="single"/>
        </w:rPr>
        <w:t>20</w:t>
      </w:r>
      <w:proofErr w:type="gramEnd"/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D530E1">
        <w:rPr>
          <w:rFonts w:ascii="Times New Roman" w:hAnsi="Times New Roman" w:cs="Times New Roman"/>
          <w:u w:val="single"/>
        </w:rPr>
        <w:t xml:space="preserve">февраля </w:t>
      </w:r>
      <w:r>
        <w:rPr>
          <w:rFonts w:ascii="Times New Roman" w:hAnsi="Times New Roman" w:cs="Times New Roman"/>
        </w:rPr>
        <w:t>202</w:t>
      </w:r>
      <w:r w:rsidR="004C272B">
        <w:rPr>
          <w:rFonts w:ascii="Times New Roman" w:hAnsi="Times New Roman" w:cs="Times New Roman"/>
        </w:rPr>
        <w:t>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D530E1">
        <w:rPr>
          <w:rFonts w:ascii="Times New Roman" w:hAnsi="Times New Roman" w:cs="Times New Roman"/>
        </w:rPr>
        <w:t>9-па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35787E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="00667C3A">
        <w:rPr>
          <w:rFonts w:ascii="Times New Roman" w:hAnsi="Times New Roman" w:cs="Times New Roman"/>
          <w:sz w:val="28"/>
          <w:szCs w:val="28"/>
        </w:rPr>
        <w:t>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C2C">
        <w:rPr>
          <w:rFonts w:ascii="Times New Roman" w:hAnsi="Times New Roman" w:cs="Times New Roman"/>
          <w:sz w:val="28"/>
          <w:szCs w:val="28"/>
          <w:highlight w:val="yellow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  <w:highlight w:val="yellow"/>
        </w:rPr>
        <w:t>Перфиловского</w:t>
      </w:r>
      <w:r w:rsidR="00BB3CDE" w:rsidRPr="00973C2C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Pr="00973C2C">
        <w:rPr>
          <w:rFonts w:ascii="Times New Roman" w:hAnsi="Times New Roman" w:cs="Times New Roman"/>
          <w:sz w:val="28"/>
          <w:szCs w:val="28"/>
          <w:highlight w:val="yellow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  <w:highlight w:val="yellow"/>
        </w:rPr>
        <w:t>Перфиловского</w:t>
      </w:r>
      <w:r w:rsidR="000F3316" w:rsidRPr="00973C2C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Pr="00973C2C">
        <w:rPr>
          <w:rFonts w:ascii="Times New Roman" w:hAnsi="Times New Roman" w:cs="Times New Roman"/>
          <w:sz w:val="28"/>
          <w:szCs w:val="28"/>
          <w:highlight w:val="yellow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r w:rsidR="0035787E">
        <w:rPr>
          <w:rFonts w:ascii="Times New Roman" w:hAnsi="Times New Roman" w:cs="Times New Roman"/>
          <w:b w:val="0"/>
        </w:rPr>
        <w:t>Перфиловского</w:t>
      </w:r>
      <w:r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35787E">
        <w:rPr>
          <w:rFonts w:ascii="Times New Roman" w:hAnsi="Times New Roman" w:cs="Times New Roman"/>
          <w:color w:val="000000"/>
          <w:lang w:eastAsia="zh-CN"/>
        </w:rPr>
        <w:t>ПЕРФИЛОВСКОГО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GoBack"/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35787E">
        <w:rPr>
          <w:rFonts w:ascii="Times New Roman" w:hAnsi="Times New Roman" w:cs="Times New Roman"/>
          <w:sz w:val="24"/>
          <w:szCs w:val="24"/>
        </w:rPr>
        <w:t>Перфиловского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15DBF" w:rsidRDefault="007349CE" w:rsidP="00667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A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r w:rsidR="0035787E" w:rsidRPr="00394A8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r w:rsidR="00667C3A" w:rsidRPr="00394A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94A81">
              <w:rPr>
                <w:rFonts w:ascii="Times New Roman" w:hAnsi="Times New Roman" w:cs="Times New Roman"/>
                <w:sz w:val="24"/>
                <w:szCs w:val="24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bookmarkEnd w:id="5"/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35787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Перфиловского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76" w:rsidRDefault="00765A76" w:rsidP="007601AA">
      <w:r>
        <w:separator/>
      </w:r>
    </w:p>
  </w:endnote>
  <w:endnote w:type="continuationSeparator" w:id="0">
    <w:p w:rsidR="00765A76" w:rsidRDefault="00765A76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76" w:rsidRDefault="00765A76" w:rsidP="007601AA">
      <w:r>
        <w:separator/>
      </w:r>
    </w:p>
  </w:footnote>
  <w:footnote w:type="continuationSeparator" w:id="0">
    <w:p w:rsidR="00765A76" w:rsidRDefault="00765A76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73ACB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03E0E"/>
    <w:rsid w:val="00320E27"/>
    <w:rsid w:val="003233B4"/>
    <w:rsid w:val="00340001"/>
    <w:rsid w:val="00342F74"/>
    <w:rsid w:val="0035787E"/>
    <w:rsid w:val="00365135"/>
    <w:rsid w:val="00380E40"/>
    <w:rsid w:val="00382009"/>
    <w:rsid w:val="00382344"/>
    <w:rsid w:val="003824CA"/>
    <w:rsid w:val="00383444"/>
    <w:rsid w:val="00385484"/>
    <w:rsid w:val="00393C54"/>
    <w:rsid w:val="00394A81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C272B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5DBF"/>
    <w:rsid w:val="00616CCD"/>
    <w:rsid w:val="00636C67"/>
    <w:rsid w:val="00653AD9"/>
    <w:rsid w:val="0065410C"/>
    <w:rsid w:val="00657259"/>
    <w:rsid w:val="00666987"/>
    <w:rsid w:val="00667C3A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5A76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3C2C"/>
    <w:rsid w:val="00974872"/>
    <w:rsid w:val="009827BA"/>
    <w:rsid w:val="00990EC7"/>
    <w:rsid w:val="009C4A8C"/>
    <w:rsid w:val="009D35EF"/>
    <w:rsid w:val="009D4412"/>
    <w:rsid w:val="009E2FF0"/>
    <w:rsid w:val="00A034BE"/>
    <w:rsid w:val="00A04F3A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3CDE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CE3CC0"/>
    <w:rsid w:val="00D00E52"/>
    <w:rsid w:val="00D0422D"/>
    <w:rsid w:val="00D05011"/>
    <w:rsid w:val="00D11323"/>
    <w:rsid w:val="00D16CA7"/>
    <w:rsid w:val="00D34B5E"/>
    <w:rsid w:val="00D418A3"/>
    <w:rsid w:val="00D530E1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68D9363-9A0A-4D86-ACD1-525717B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8802-EB36-49C7-8768-A942696D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13</cp:revision>
  <cp:lastPrinted>2023-03-01T02:46:00Z</cp:lastPrinted>
  <dcterms:created xsi:type="dcterms:W3CDTF">2022-12-21T06:05:00Z</dcterms:created>
  <dcterms:modified xsi:type="dcterms:W3CDTF">2023-03-01T02:46:00Z</dcterms:modified>
</cp:coreProperties>
</file>